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3296" w:rsidRPr="00383035" w:rsidRDefault="00503296" w:rsidP="00503296">
      <w:pPr>
        <w:ind w:right="1274"/>
        <w:jc w:val="both"/>
        <w:rPr>
          <w:rFonts w:ascii="Tahoma" w:hAnsi="Tahoma" w:cs="Tahoma"/>
          <w:b/>
          <w:i/>
          <w:sz w:val="18"/>
          <w:szCs w:val="18"/>
        </w:rPr>
      </w:pPr>
    </w:p>
    <w:p w:rsidR="00503296" w:rsidRPr="00383035" w:rsidRDefault="00503296" w:rsidP="00503296">
      <w:pPr>
        <w:ind w:left="2832" w:right="1843" w:hanging="1131"/>
        <w:jc w:val="both"/>
        <w:rPr>
          <w:rFonts w:ascii="Tahoma" w:hAnsi="Tahoma" w:cs="Tahoma"/>
          <w:b/>
          <w:i/>
          <w:sz w:val="18"/>
          <w:szCs w:val="18"/>
          <w:highlight w:val="yellow"/>
        </w:rPr>
      </w:pPr>
      <w:r w:rsidRPr="00383035">
        <w:rPr>
          <w:rFonts w:ascii="Tahoma" w:hAnsi="Tahoma" w:cs="Tahoma"/>
          <w:b/>
          <w:i/>
          <w:sz w:val="18"/>
          <w:szCs w:val="18"/>
        </w:rPr>
        <w:t xml:space="preserve">Sumilla:    </w:t>
      </w:r>
      <w:r w:rsidR="003B3C54" w:rsidRPr="00383035">
        <w:rPr>
          <w:rFonts w:ascii="Tahoma" w:hAnsi="Tahoma" w:cs="Tahoma"/>
          <w:b/>
          <w:i/>
          <w:sz w:val="18"/>
          <w:szCs w:val="18"/>
        </w:rPr>
        <w:t xml:space="preserve"> </w:t>
      </w:r>
      <w:r w:rsidR="004729F3" w:rsidRPr="00383035">
        <w:rPr>
          <w:rFonts w:ascii="Tahoma" w:hAnsi="Tahoma" w:cs="Tahoma"/>
          <w:b/>
          <w:i/>
          <w:sz w:val="18"/>
          <w:szCs w:val="18"/>
        </w:rPr>
        <w:t xml:space="preserve"> </w:t>
      </w:r>
      <w:r w:rsidRPr="00383035">
        <w:rPr>
          <w:rFonts w:ascii="Tahoma" w:hAnsi="Tahoma" w:cs="Tahoma"/>
          <w:i/>
          <w:sz w:val="18"/>
          <w:szCs w:val="18"/>
        </w:rPr>
        <w:t>Por otro lado, el literal c) del artículo 76 del Reglamento establece que los postores y/o contratistas son responsables de la veracidad de los documentos e información que presentan para efectos de un proceso de selección determinado.</w:t>
      </w:r>
    </w:p>
    <w:p w:rsidR="00503296" w:rsidRPr="00383035" w:rsidRDefault="00503296" w:rsidP="00503296">
      <w:pPr>
        <w:ind w:left="2694" w:right="991" w:hanging="1418"/>
        <w:jc w:val="right"/>
        <w:rPr>
          <w:rFonts w:ascii="Tahoma" w:hAnsi="Tahoma" w:cs="Tahoma"/>
          <w:b/>
          <w:i/>
          <w:sz w:val="20"/>
          <w:szCs w:val="20"/>
          <w:highlight w:val="yellow"/>
        </w:rPr>
      </w:pPr>
    </w:p>
    <w:p w:rsidR="00503296" w:rsidRPr="00383035" w:rsidRDefault="00503296" w:rsidP="00503296">
      <w:pPr>
        <w:pStyle w:val="Textoindependiente3"/>
        <w:ind w:left="4956" w:firstLine="708"/>
        <w:rPr>
          <w:rFonts w:ascii="Tahoma" w:hAnsi="Tahoma" w:cs="Tahoma"/>
          <w:sz w:val="20"/>
          <w:szCs w:val="20"/>
        </w:rPr>
      </w:pPr>
      <w:r w:rsidRPr="00383035">
        <w:rPr>
          <w:rFonts w:ascii="Tahoma" w:hAnsi="Tahoma" w:cs="Tahoma"/>
          <w:sz w:val="20"/>
          <w:szCs w:val="20"/>
        </w:rPr>
        <w:t xml:space="preserve">Lima, </w:t>
      </w:r>
      <w:r w:rsidR="00557D75">
        <w:rPr>
          <w:rFonts w:ascii="Tahoma" w:hAnsi="Tahoma" w:cs="Tahoma"/>
          <w:sz w:val="20"/>
          <w:szCs w:val="20"/>
        </w:rPr>
        <w:t>16 de Mayo de 2011</w:t>
      </w:r>
    </w:p>
    <w:p w:rsidR="00503296" w:rsidRPr="00383035" w:rsidRDefault="00503296" w:rsidP="00503296">
      <w:pPr>
        <w:pStyle w:val="Textoindependiente3"/>
        <w:rPr>
          <w:rFonts w:ascii="Tahoma" w:hAnsi="Tahoma" w:cs="Tahoma"/>
          <w:b/>
          <w:sz w:val="20"/>
          <w:szCs w:val="20"/>
        </w:rPr>
      </w:pPr>
    </w:p>
    <w:p w:rsidR="00503296" w:rsidRPr="00383035" w:rsidRDefault="00503296" w:rsidP="00503296">
      <w:pPr>
        <w:tabs>
          <w:tab w:val="left" w:pos="8280"/>
        </w:tabs>
        <w:jc w:val="both"/>
        <w:rPr>
          <w:rFonts w:ascii="Tahoma" w:hAnsi="Tahoma" w:cs="Tahoma"/>
          <w:color w:val="000000"/>
          <w:sz w:val="20"/>
          <w:szCs w:val="20"/>
        </w:rPr>
      </w:pPr>
      <w:r w:rsidRPr="00383035">
        <w:rPr>
          <w:rFonts w:ascii="Tahoma" w:hAnsi="Tahoma" w:cs="Tahoma"/>
          <w:b/>
          <w:sz w:val="20"/>
          <w:szCs w:val="20"/>
        </w:rPr>
        <w:t>VISTO,</w:t>
      </w:r>
      <w:r w:rsidRPr="00383035">
        <w:rPr>
          <w:rFonts w:ascii="Tahoma" w:hAnsi="Tahoma" w:cs="Tahoma"/>
          <w:sz w:val="20"/>
          <w:szCs w:val="20"/>
        </w:rPr>
        <w:t xml:space="preserve"> </w:t>
      </w:r>
      <w:r w:rsidRPr="00383035">
        <w:rPr>
          <w:rFonts w:ascii="Tahoma" w:hAnsi="Tahoma" w:cs="Tahoma"/>
          <w:color w:val="000000"/>
          <w:sz w:val="20"/>
          <w:szCs w:val="20"/>
        </w:rPr>
        <w:t xml:space="preserve">en sesión de fecha </w:t>
      </w:r>
      <w:r w:rsidR="00383035">
        <w:rPr>
          <w:rFonts w:ascii="Tahoma" w:hAnsi="Tahoma" w:cs="Tahoma"/>
          <w:color w:val="000000"/>
          <w:sz w:val="20"/>
          <w:szCs w:val="20"/>
        </w:rPr>
        <w:t>16 de mayo</w:t>
      </w:r>
      <w:r w:rsidRPr="00383035">
        <w:rPr>
          <w:rFonts w:ascii="Tahoma" w:hAnsi="Tahoma" w:cs="Tahoma"/>
          <w:color w:val="000000"/>
          <w:sz w:val="20"/>
          <w:szCs w:val="20"/>
        </w:rPr>
        <w:t xml:space="preserve"> de 2011 de la </w:t>
      </w:r>
      <w:r w:rsidR="00D46E7E" w:rsidRPr="00383035">
        <w:rPr>
          <w:rFonts w:ascii="Tahoma" w:hAnsi="Tahoma" w:cs="Tahoma"/>
          <w:color w:val="000000"/>
          <w:sz w:val="20"/>
          <w:szCs w:val="20"/>
        </w:rPr>
        <w:t>Primera</w:t>
      </w:r>
      <w:r w:rsidRPr="00383035">
        <w:rPr>
          <w:rFonts w:ascii="Tahoma" w:hAnsi="Tahoma" w:cs="Tahoma"/>
          <w:color w:val="000000"/>
          <w:sz w:val="20"/>
          <w:szCs w:val="20"/>
        </w:rPr>
        <w:t xml:space="preserve"> Sala del Tribunal de Contrataciones del Estado, el Expediente </w:t>
      </w:r>
      <w:r w:rsidRPr="00383035">
        <w:rPr>
          <w:rFonts w:ascii="Tahoma" w:hAnsi="Tahoma" w:cs="Tahoma"/>
          <w:sz w:val="20"/>
          <w:szCs w:val="20"/>
        </w:rPr>
        <w:t xml:space="preserve">№ </w:t>
      </w:r>
      <w:r w:rsidR="004729F3" w:rsidRPr="00383035">
        <w:rPr>
          <w:rFonts w:ascii="Tahoma" w:hAnsi="Tahoma" w:cs="Tahoma"/>
          <w:sz w:val="20"/>
          <w:szCs w:val="20"/>
        </w:rPr>
        <w:t>330</w:t>
      </w:r>
      <w:r w:rsidR="00383035">
        <w:rPr>
          <w:rFonts w:ascii="Tahoma" w:hAnsi="Tahoma" w:cs="Tahoma"/>
          <w:sz w:val="20"/>
          <w:szCs w:val="20"/>
        </w:rPr>
        <w:t>/20</w:t>
      </w:r>
      <w:r w:rsidR="00623C2C" w:rsidRPr="00383035">
        <w:rPr>
          <w:rFonts w:ascii="Tahoma" w:hAnsi="Tahoma" w:cs="Tahoma"/>
          <w:sz w:val="20"/>
          <w:szCs w:val="20"/>
        </w:rPr>
        <w:t>0</w:t>
      </w:r>
      <w:r w:rsidR="00383035">
        <w:rPr>
          <w:rFonts w:ascii="Tahoma" w:hAnsi="Tahoma" w:cs="Tahoma"/>
          <w:sz w:val="20"/>
          <w:szCs w:val="20"/>
        </w:rPr>
        <w:t>9</w:t>
      </w:r>
      <w:r w:rsidRPr="00383035">
        <w:rPr>
          <w:rFonts w:ascii="Tahoma" w:hAnsi="Tahoma" w:cs="Tahoma"/>
          <w:sz w:val="20"/>
          <w:szCs w:val="20"/>
        </w:rPr>
        <w:t>.TC</w:t>
      </w:r>
      <w:r w:rsidRPr="00383035">
        <w:rPr>
          <w:rFonts w:ascii="Tahoma" w:hAnsi="Tahoma" w:cs="Tahoma"/>
          <w:color w:val="000000"/>
          <w:sz w:val="20"/>
          <w:szCs w:val="20"/>
        </w:rPr>
        <w:t xml:space="preserve"> sobre el procedimiento administrativo sancionador iniciado contra </w:t>
      </w:r>
      <w:r w:rsidR="008A0308" w:rsidRPr="00383035">
        <w:rPr>
          <w:rFonts w:ascii="Tahoma" w:hAnsi="Tahoma" w:cs="Tahoma"/>
          <w:color w:val="000000"/>
          <w:sz w:val="20"/>
          <w:szCs w:val="20"/>
        </w:rPr>
        <w:t xml:space="preserve">la empresa </w:t>
      </w:r>
      <w:r w:rsidR="00D4697A" w:rsidRPr="00D4697A">
        <w:rPr>
          <w:rFonts w:ascii="Tahoma" w:hAnsi="Tahoma" w:cs="Tahoma"/>
          <w:sz w:val="20"/>
          <w:szCs w:val="20"/>
        </w:rPr>
        <w:t>EDU REPRESENTACIONES E.I.R.L.</w:t>
      </w:r>
      <w:r w:rsidR="008A0308" w:rsidRPr="00383035">
        <w:rPr>
          <w:rFonts w:ascii="Tahoma" w:hAnsi="Tahoma" w:cs="Tahoma"/>
          <w:color w:val="000000"/>
          <w:sz w:val="20"/>
          <w:szCs w:val="20"/>
        </w:rPr>
        <w:t xml:space="preserve"> </w:t>
      </w:r>
      <w:r w:rsidRPr="00383035">
        <w:rPr>
          <w:rFonts w:ascii="Tahoma" w:hAnsi="Tahoma" w:cs="Tahoma"/>
          <w:color w:val="000000"/>
          <w:sz w:val="20"/>
          <w:szCs w:val="20"/>
        </w:rPr>
        <w:t>por su supuesta responsabilidad en la presentación de documentos</w:t>
      </w:r>
      <w:r w:rsidR="00C24737" w:rsidRPr="00383035">
        <w:rPr>
          <w:rFonts w:ascii="Tahoma" w:hAnsi="Tahoma" w:cs="Tahoma"/>
          <w:color w:val="000000"/>
          <w:sz w:val="20"/>
          <w:szCs w:val="20"/>
        </w:rPr>
        <w:t xml:space="preserve"> falsos y/o </w:t>
      </w:r>
      <w:r w:rsidRPr="00383035">
        <w:rPr>
          <w:rFonts w:ascii="Tahoma" w:hAnsi="Tahoma" w:cs="Tahoma"/>
          <w:color w:val="000000"/>
          <w:sz w:val="20"/>
          <w:szCs w:val="20"/>
        </w:rPr>
        <w:t>inexactos durante</w:t>
      </w:r>
      <w:r w:rsidRPr="00383035">
        <w:rPr>
          <w:rFonts w:ascii="Tahoma" w:hAnsi="Tahoma" w:cs="Tahoma"/>
          <w:sz w:val="20"/>
          <w:szCs w:val="20"/>
        </w:rPr>
        <w:t xml:space="preserve"> </w:t>
      </w:r>
      <w:r w:rsidR="00D4697A">
        <w:rPr>
          <w:rFonts w:ascii="Tahoma" w:hAnsi="Tahoma" w:cs="Tahoma"/>
          <w:sz w:val="20"/>
          <w:szCs w:val="20"/>
        </w:rPr>
        <w:t xml:space="preserve">la </w:t>
      </w:r>
      <w:r w:rsidR="00D4697A" w:rsidRPr="00D4697A">
        <w:rPr>
          <w:rFonts w:ascii="Tahoma" w:hAnsi="Tahoma" w:cs="Tahoma"/>
          <w:sz w:val="20"/>
          <w:szCs w:val="20"/>
        </w:rPr>
        <w:t>Adjudicación Directa Pública № 0002-2008-SENAMHI</w:t>
      </w:r>
      <w:r w:rsidR="00D4697A">
        <w:rPr>
          <w:rFonts w:ascii="Tahoma" w:hAnsi="Tahoma" w:cs="Tahoma"/>
          <w:sz w:val="20"/>
          <w:szCs w:val="20"/>
        </w:rPr>
        <w:t>,</w:t>
      </w:r>
      <w:r w:rsidR="00D4697A" w:rsidRPr="00D4697A">
        <w:t xml:space="preserve"> </w:t>
      </w:r>
      <w:r w:rsidR="00D4697A" w:rsidRPr="00D4697A">
        <w:rPr>
          <w:rFonts w:ascii="Tahoma" w:hAnsi="Tahoma" w:cs="Tahoma"/>
          <w:sz w:val="20"/>
          <w:szCs w:val="20"/>
        </w:rPr>
        <w:t xml:space="preserve">según relación de ítems, para la </w:t>
      </w:r>
      <w:r w:rsidR="00D4697A">
        <w:rPr>
          <w:rFonts w:ascii="Tahoma" w:hAnsi="Tahoma" w:cs="Tahoma"/>
          <w:sz w:val="20"/>
          <w:szCs w:val="20"/>
        </w:rPr>
        <w:t>“A</w:t>
      </w:r>
      <w:r w:rsidR="00D4697A" w:rsidRPr="00D4697A">
        <w:rPr>
          <w:rFonts w:ascii="Tahoma" w:hAnsi="Tahoma" w:cs="Tahoma"/>
          <w:sz w:val="20"/>
          <w:szCs w:val="20"/>
        </w:rPr>
        <w:t xml:space="preserve">dquisición de </w:t>
      </w:r>
      <w:r w:rsidR="00D4697A">
        <w:rPr>
          <w:rFonts w:ascii="Tahoma" w:hAnsi="Tahoma" w:cs="Tahoma"/>
          <w:sz w:val="20"/>
          <w:szCs w:val="20"/>
        </w:rPr>
        <w:t>C</w:t>
      </w:r>
      <w:r w:rsidR="00D4697A" w:rsidRPr="00D4697A">
        <w:rPr>
          <w:rFonts w:ascii="Tahoma" w:hAnsi="Tahoma" w:cs="Tahoma"/>
          <w:sz w:val="20"/>
          <w:szCs w:val="20"/>
        </w:rPr>
        <w:t>orrentómetros</w:t>
      </w:r>
      <w:r w:rsidR="00D4697A">
        <w:rPr>
          <w:rFonts w:ascii="Tahoma" w:hAnsi="Tahoma" w:cs="Tahoma"/>
          <w:sz w:val="20"/>
          <w:szCs w:val="20"/>
        </w:rPr>
        <w:t>”</w:t>
      </w:r>
      <w:r w:rsidRPr="00383035">
        <w:rPr>
          <w:rFonts w:ascii="Tahoma" w:hAnsi="Tahoma" w:cs="Tahoma"/>
          <w:color w:val="000000"/>
          <w:sz w:val="20"/>
          <w:szCs w:val="20"/>
        </w:rPr>
        <w:t>; y, atendiendo a los siguientes:</w:t>
      </w:r>
    </w:p>
    <w:p w:rsidR="00F31A7A" w:rsidRPr="00383035" w:rsidRDefault="00F31A7A" w:rsidP="00F31A7A">
      <w:pPr>
        <w:jc w:val="both"/>
        <w:rPr>
          <w:rFonts w:ascii="Tahoma" w:hAnsi="Tahoma" w:cs="Tahoma"/>
          <w:b/>
          <w:shadow/>
          <w:sz w:val="20"/>
          <w:szCs w:val="20"/>
        </w:rPr>
      </w:pPr>
    </w:p>
    <w:p w:rsidR="00F31A7A" w:rsidRPr="00383035" w:rsidRDefault="00F31A7A" w:rsidP="00F31A7A">
      <w:pPr>
        <w:jc w:val="both"/>
        <w:rPr>
          <w:rFonts w:ascii="Tahoma" w:hAnsi="Tahoma" w:cs="Tahoma"/>
          <w:b/>
          <w:shadow/>
          <w:sz w:val="20"/>
          <w:szCs w:val="20"/>
        </w:rPr>
      </w:pPr>
      <w:r w:rsidRPr="00383035">
        <w:rPr>
          <w:rFonts w:ascii="Tahoma" w:hAnsi="Tahoma" w:cs="Tahoma"/>
          <w:b/>
          <w:shadow/>
          <w:sz w:val="20"/>
          <w:szCs w:val="20"/>
        </w:rPr>
        <w:t>ANTECEDENTES:</w:t>
      </w:r>
    </w:p>
    <w:p w:rsidR="00F31A7A" w:rsidRPr="00383035" w:rsidRDefault="00F31A7A" w:rsidP="00F31A7A">
      <w:pPr>
        <w:jc w:val="both"/>
        <w:rPr>
          <w:rFonts w:ascii="Tahoma" w:hAnsi="Tahoma" w:cs="Tahoma"/>
          <w:sz w:val="20"/>
          <w:szCs w:val="20"/>
        </w:rPr>
      </w:pPr>
    </w:p>
    <w:p w:rsidR="00383035" w:rsidRPr="00383035" w:rsidRDefault="00383035" w:rsidP="00383035">
      <w:pPr>
        <w:pStyle w:val="Textoindependiente"/>
        <w:numPr>
          <w:ilvl w:val="0"/>
          <w:numId w:val="21"/>
        </w:numPr>
        <w:tabs>
          <w:tab w:val="clear" w:pos="360"/>
        </w:tabs>
        <w:ind w:left="567" w:hanging="567"/>
        <w:rPr>
          <w:rFonts w:cs="Tahoma"/>
          <w:sz w:val="20"/>
        </w:rPr>
      </w:pPr>
      <w:r w:rsidRPr="00383035">
        <w:rPr>
          <w:rFonts w:cs="Tahoma"/>
          <w:sz w:val="20"/>
        </w:rPr>
        <w:t>El 11 de julio de 2008, el Servicio Nacional de Meteorología e Hidrología (SENAMHI) en lo sucesivo la Entidad, convocó la Adjudicación Directa Pública № 0002-2008-SENAMHI</w:t>
      </w:r>
      <w:r w:rsidRPr="00383035">
        <w:rPr>
          <w:rFonts w:cs="Tahoma"/>
          <w:bCs/>
          <w:sz w:val="20"/>
        </w:rPr>
        <w:t xml:space="preserve"> (Primera Convocatoria)</w:t>
      </w:r>
      <w:r w:rsidRPr="00383035">
        <w:rPr>
          <w:rFonts w:cs="Tahoma"/>
          <w:sz w:val="20"/>
        </w:rPr>
        <w:t>, según relación de ítems, para la adquisición de correntómetros, con un valor referencial ascendente a S/. 329 640,00 (Trescientos veinte y nueve mil seiscientos cuarenta con 00/100 nuevos soles), incluido el Impuesto General a las Ventas (IGV).</w:t>
      </w:r>
    </w:p>
    <w:p w:rsidR="00383035" w:rsidRPr="00383035" w:rsidRDefault="00383035" w:rsidP="00383035">
      <w:pPr>
        <w:pStyle w:val="Textoindependiente"/>
        <w:ind w:left="567"/>
        <w:rPr>
          <w:rFonts w:cs="Tahoma"/>
          <w:sz w:val="20"/>
        </w:rPr>
      </w:pPr>
    </w:p>
    <w:p w:rsidR="00383035" w:rsidRPr="00383035" w:rsidRDefault="00383035" w:rsidP="00383035">
      <w:pPr>
        <w:pStyle w:val="Textoindependiente"/>
        <w:numPr>
          <w:ilvl w:val="0"/>
          <w:numId w:val="21"/>
        </w:numPr>
        <w:tabs>
          <w:tab w:val="clear" w:pos="360"/>
          <w:tab w:val="left" w:pos="-2340"/>
          <w:tab w:val="num" w:pos="567"/>
        </w:tabs>
        <w:ind w:left="567" w:hanging="567"/>
        <w:rPr>
          <w:rFonts w:cs="Tahoma"/>
          <w:sz w:val="20"/>
        </w:rPr>
      </w:pPr>
      <w:r w:rsidRPr="00383035">
        <w:rPr>
          <w:rFonts w:cs="Tahoma"/>
          <w:sz w:val="20"/>
        </w:rPr>
        <w:t xml:space="preserve">El 25 de julio de 2008, se realizó el acto público de presentación y apertura de propuestas técnicas, en el cual, presentaron sus sobres respectivos los siguientes postores: (i) CONSORCIO IEXVULCANO E.I.R.L. – SOLARTEK S.A.C.; (ii) EDU REPRESENTACIONES E.I.R.L.; y (iii) </w:t>
      </w:r>
      <w:r w:rsidRPr="00383035">
        <w:rPr>
          <w:rFonts w:cs="Tahoma"/>
          <w:bCs/>
          <w:sz w:val="20"/>
        </w:rPr>
        <w:t>SERIMPORT S.A.</w:t>
      </w:r>
    </w:p>
    <w:p w:rsidR="00383035" w:rsidRPr="00383035" w:rsidRDefault="00383035" w:rsidP="00383035">
      <w:pPr>
        <w:pStyle w:val="Textoindependiente"/>
        <w:ind w:left="567" w:hanging="567"/>
        <w:rPr>
          <w:rFonts w:cs="Tahoma"/>
          <w:sz w:val="20"/>
        </w:rPr>
      </w:pPr>
    </w:p>
    <w:p w:rsidR="00383035" w:rsidRPr="00383035" w:rsidRDefault="00383035" w:rsidP="00383035">
      <w:pPr>
        <w:pStyle w:val="Textoindependiente"/>
        <w:numPr>
          <w:ilvl w:val="0"/>
          <w:numId w:val="21"/>
        </w:numPr>
        <w:tabs>
          <w:tab w:val="clear" w:pos="360"/>
        </w:tabs>
        <w:ind w:left="567" w:hanging="567"/>
        <w:rPr>
          <w:rFonts w:cs="Tahoma"/>
          <w:sz w:val="20"/>
        </w:rPr>
      </w:pPr>
      <w:r w:rsidRPr="00383035">
        <w:rPr>
          <w:rFonts w:cs="Tahoma"/>
          <w:sz w:val="20"/>
        </w:rPr>
        <w:t xml:space="preserve">El 11 de agosto de 2008, el Comité Especial otorgó la Buena Pro de los ítems № 1 (correntómetro tipo I), № 2 (correntómetro tipo II) y № 3 (correntómetro tipo III) al CONSORCIO IEXVULCANO E.I.R.L. – SOLARTEK S.A.C., en adelante el Adjudicatario, y descalificó a los postores EDU REPRESENTACIONES E.I.R.L. y </w:t>
      </w:r>
      <w:r w:rsidRPr="00383035">
        <w:rPr>
          <w:rFonts w:cs="Tahoma"/>
          <w:bCs/>
          <w:sz w:val="20"/>
        </w:rPr>
        <w:t>SERIMPORT S.A.</w:t>
      </w:r>
    </w:p>
    <w:p w:rsidR="00383035" w:rsidRPr="00383035" w:rsidRDefault="00383035" w:rsidP="00383035">
      <w:pPr>
        <w:pStyle w:val="Prrafodelista"/>
        <w:rPr>
          <w:rFonts w:ascii="Tahoma" w:hAnsi="Tahoma" w:cs="Tahoma"/>
          <w:sz w:val="20"/>
          <w:szCs w:val="20"/>
        </w:rPr>
      </w:pPr>
    </w:p>
    <w:p w:rsidR="00383035" w:rsidRPr="00383035" w:rsidRDefault="00383035" w:rsidP="00383035">
      <w:pPr>
        <w:pStyle w:val="Textoindependiente"/>
        <w:numPr>
          <w:ilvl w:val="0"/>
          <w:numId w:val="21"/>
        </w:numPr>
        <w:tabs>
          <w:tab w:val="clear" w:pos="360"/>
        </w:tabs>
        <w:ind w:left="567" w:hanging="567"/>
        <w:rPr>
          <w:rFonts w:cs="Tahoma"/>
          <w:sz w:val="20"/>
        </w:rPr>
      </w:pPr>
      <w:r w:rsidRPr="00383035">
        <w:rPr>
          <w:rFonts w:cs="Tahoma"/>
          <w:sz w:val="20"/>
        </w:rPr>
        <w:t xml:space="preserve">Mediante escrito presentado el </w:t>
      </w:r>
      <w:r w:rsidRPr="00383035">
        <w:rPr>
          <w:rFonts w:cs="Tahoma"/>
          <w:sz w:val="20"/>
          <w:lang w:val="es-ES"/>
        </w:rPr>
        <w:t>20</w:t>
      </w:r>
      <w:r w:rsidRPr="00383035">
        <w:rPr>
          <w:rFonts w:cs="Tahoma"/>
          <w:sz w:val="20"/>
        </w:rPr>
        <w:t xml:space="preserve"> de agosto de 2008, EDU REPRESENTACIONES E.I.R.L., en lo sucesivo el Postor,</w:t>
      </w:r>
      <w:r w:rsidRPr="00383035">
        <w:rPr>
          <w:rFonts w:cs="Tahoma"/>
          <w:sz w:val="20"/>
          <w:lang w:val="es-ES"/>
        </w:rPr>
        <w:t xml:space="preserve"> </w:t>
      </w:r>
      <w:r w:rsidRPr="00383035">
        <w:rPr>
          <w:rFonts w:cs="Tahoma"/>
          <w:sz w:val="20"/>
        </w:rPr>
        <w:t>interpuso recurso de apelación ante el Tribunal de Contrataciones y Adquisiciones del Estado (Hoy Tribunal de Contrataciones), en adelante el Tribunal, contra  la descalificación de su propuesta técnica de los ítems №s 1, 2 y 3 del referido proceso de selección, solicitando que se revoque el otorgamiento de la Buena Pro al Adjudicatario y se proceda a una nueva evaluación técnica.</w:t>
      </w:r>
    </w:p>
    <w:p w:rsidR="00383035" w:rsidRPr="00383035" w:rsidRDefault="00383035" w:rsidP="00383035">
      <w:pPr>
        <w:pStyle w:val="Textoindependiente"/>
        <w:ind w:left="426"/>
        <w:rPr>
          <w:rFonts w:cs="Tahoma"/>
          <w:sz w:val="20"/>
        </w:rPr>
      </w:pPr>
    </w:p>
    <w:p w:rsidR="00383035" w:rsidRPr="00383035" w:rsidRDefault="00383035" w:rsidP="00383035">
      <w:pPr>
        <w:pStyle w:val="Textoindependiente"/>
        <w:numPr>
          <w:ilvl w:val="0"/>
          <w:numId w:val="21"/>
        </w:numPr>
        <w:tabs>
          <w:tab w:val="clear" w:pos="360"/>
          <w:tab w:val="num" w:pos="567"/>
        </w:tabs>
        <w:ind w:left="567" w:hanging="567"/>
        <w:rPr>
          <w:rFonts w:cs="Tahoma"/>
          <w:sz w:val="20"/>
        </w:rPr>
      </w:pPr>
      <w:r w:rsidRPr="00383035">
        <w:rPr>
          <w:rFonts w:cs="Tahoma"/>
          <w:sz w:val="20"/>
          <w:lang w:val="es-ES"/>
        </w:rPr>
        <w:t>El 9 de octubre de 2008, el Adjudicatario sostuvo que el Postor había incurrido en una declaración jurada inexacta al indicar que sus productos eran nacionales debido a que en el Perú no se fabricaban dichos equipos, por lo que solicitó se efectúe una pericia al respecto.</w:t>
      </w:r>
    </w:p>
    <w:p w:rsidR="00383035" w:rsidRPr="00383035" w:rsidRDefault="00383035" w:rsidP="00383035">
      <w:pPr>
        <w:pStyle w:val="Prrafodelista"/>
        <w:rPr>
          <w:rFonts w:ascii="Tahoma" w:hAnsi="Tahoma" w:cs="Tahoma"/>
          <w:sz w:val="20"/>
          <w:szCs w:val="20"/>
        </w:rPr>
      </w:pPr>
    </w:p>
    <w:p w:rsidR="00383035" w:rsidRPr="00383035" w:rsidRDefault="00383035" w:rsidP="00383035">
      <w:pPr>
        <w:pStyle w:val="Textoindependiente"/>
        <w:numPr>
          <w:ilvl w:val="0"/>
          <w:numId w:val="21"/>
        </w:numPr>
        <w:tabs>
          <w:tab w:val="clear" w:pos="360"/>
          <w:tab w:val="num" w:pos="567"/>
        </w:tabs>
        <w:ind w:left="567" w:hanging="567"/>
        <w:rPr>
          <w:rFonts w:cs="Tahoma"/>
          <w:sz w:val="20"/>
        </w:rPr>
      </w:pPr>
      <w:r w:rsidRPr="00383035">
        <w:rPr>
          <w:rFonts w:cs="Tahoma"/>
          <w:sz w:val="20"/>
        </w:rPr>
        <w:t xml:space="preserve">El 24 de diciembre de 2008, con ocasión al requerimiento efectuado por el Tribunal, la Cámara de Comercio de Lima emitió el informe pericial respecto al origen de los bienes ofertados por el Postor, en el que indicó, entre otros, que </w:t>
      </w:r>
      <w:r w:rsidRPr="00383035">
        <w:rPr>
          <w:rFonts w:cs="Tahoma"/>
          <w:sz w:val="20"/>
          <w:lang w:val="es-ES"/>
        </w:rPr>
        <w:t xml:space="preserve">el objeto de la pericia no está en determinar o no la capacidad de la empresa para la fabricación de los equipos, si no que al amparo de la autorización otorgada por INDECOPI, emite opinión técnica sobre el origen de los productos cuya nacionalidad haya sido impugnada, razón por la cual, la mencionada entidad evaluadora señaló que </w:t>
      </w:r>
      <w:r w:rsidRPr="00383035">
        <w:rPr>
          <w:rFonts w:cs="Tahoma"/>
          <w:sz w:val="20"/>
        </w:rPr>
        <w:t>no puede opinar sobre el origen que no existe.</w:t>
      </w:r>
    </w:p>
    <w:p w:rsidR="00383035" w:rsidRPr="00383035" w:rsidRDefault="00383035" w:rsidP="00383035">
      <w:pPr>
        <w:pStyle w:val="Textoindependiente"/>
        <w:ind w:left="567"/>
        <w:rPr>
          <w:rFonts w:cs="Tahoma"/>
          <w:sz w:val="20"/>
        </w:rPr>
      </w:pPr>
    </w:p>
    <w:p w:rsidR="00383035" w:rsidRPr="00383035" w:rsidRDefault="00383035" w:rsidP="00383035">
      <w:pPr>
        <w:pStyle w:val="Textoindependiente"/>
        <w:numPr>
          <w:ilvl w:val="0"/>
          <w:numId w:val="21"/>
        </w:numPr>
        <w:tabs>
          <w:tab w:val="clear" w:pos="360"/>
          <w:tab w:val="left" w:pos="-2340"/>
          <w:tab w:val="num" w:pos="567"/>
        </w:tabs>
        <w:ind w:left="567" w:hanging="567"/>
        <w:rPr>
          <w:rFonts w:cs="Tahoma"/>
          <w:sz w:val="20"/>
          <w:lang w:val="es-ES"/>
        </w:rPr>
      </w:pPr>
      <w:r w:rsidRPr="00383035">
        <w:rPr>
          <w:rFonts w:cs="Tahoma"/>
          <w:sz w:val="20"/>
        </w:rPr>
        <w:t>Con Resolución № 150-2009-TC-S4 de fecha 19 de enero de 2008, el Tribunal declaró infundado el recurso de apelación interpuesto por el Postor contra el otorgamiento de la Buena Pro de los ítems №s 1, 2 y 3 del citado proceso de selección.</w:t>
      </w:r>
    </w:p>
    <w:p w:rsidR="00383035" w:rsidRPr="00383035" w:rsidRDefault="00383035" w:rsidP="00383035">
      <w:pPr>
        <w:pStyle w:val="Textoindependiente"/>
        <w:tabs>
          <w:tab w:val="left" w:pos="-2340"/>
        </w:tabs>
        <w:ind w:left="567"/>
        <w:rPr>
          <w:rFonts w:cs="Tahoma"/>
          <w:sz w:val="20"/>
          <w:lang w:val="es-ES"/>
        </w:rPr>
      </w:pPr>
    </w:p>
    <w:p w:rsidR="00383035" w:rsidRPr="00383035" w:rsidRDefault="00383035" w:rsidP="00383035">
      <w:pPr>
        <w:pStyle w:val="Textoindependiente"/>
        <w:numPr>
          <w:ilvl w:val="0"/>
          <w:numId w:val="21"/>
        </w:numPr>
        <w:tabs>
          <w:tab w:val="clear" w:pos="360"/>
          <w:tab w:val="left" w:pos="-2340"/>
          <w:tab w:val="num" w:pos="567"/>
        </w:tabs>
        <w:ind w:left="567" w:hanging="567"/>
        <w:rPr>
          <w:rFonts w:cs="Tahoma"/>
          <w:b/>
          <w:sz w:val="20"/>
          <w:lang w:val="es-ES"/>
        </w:rPr>
      </w:pPr>
      <w:r w:rsidRPr="00383035">
        <w:rPr>
          <w:rFonts w:cs="Tahoma"/>
          <w:sz w:val="20"/>
        </w:rPr>
        <w:t>Con Oficios №s 075-084/SENAMHI-PREJ-OAJ/2009 presentados el 23 y 27 de enero de 2009, respectivamente, la Entidad puso en conocimiento al Tribunal, los hechos antes expuestos. Para tal efecto, adjuntó el Informe Legal de fecha 26 de enero de 2009, mediante el cual señaló que el Postor había presentado documentación con información inexacta, referido a la Declaración Jurada de Bienes Elaborados en Territorio Nacional de fecha 24 de julio de 2008, y por el cual solicitó el 20% de bonificación por bienes de procedencia nacional.</w:t>
      </w:r>
    </w:p>
    <w:p w:rsidR="00383035" w:rsidRPr="00383035" w:rsidRDefault="00383035" w:rsidP="00383035">
      <w:pPr>
        <w:pStyle w:val="Textoindependiente"/>
        <w:tabs>
          <w:tab w:val="left" w:pos="-2340"/>
        </w:tabs>
        <w:ind w:left="567"/>
        <w:rPr>
          <w:rFonts w:cs="Tahoma"/>
          <w:sz w:val="20"/>
          <w:lang w:val="es-ES"/>
        </w:rPr>
      </w:pPr>
    </w:p>
    <w:p w:rsidR="00383035" w:rsidRPr="00383035" w:rsidRDefault="00383035" w:rsidP="00383035">
      <w:pPr>
        <w:numPr>
          <w:ilvl w:val="0"/>
          <w:numId w:val="21"/>
        </w:numPr>
        <w:tabs>
          <w:tab w:val="clear" w:pos="360"/>
          <w:tab w:val="num" w:pos="567"/>
        </w:tabs>
        <w:ind w:left="567" w:hanging="567"/>
        <w:jc w:val="both"/>
        <w:rPr>
          <w:rFonts w:ascii="Tahoma" w:hAnsi="Tahoma" w:cs="Tahoma"/>
          <w:sz w:val="20"/>
          <w:szCs w:val="20"/>
        </w:rPr>
      </w:pPr>
      <w:r w:rsidRPr="00383035">
        <w:rPr>
          <w:rFonts w:ascii="Tahoma" w:hAnsi="Tahoma" w:cs="Tahoma"/>
          <w:sz w:val="20"/>
          <w:szCs w:val="20"/>
        </w:rPr>
        <w:t xml:space="preserve">Mediante decreto de fecha 29 de enero de 2009, notificado el 19 de febrero del mismo año, el </w:t>
      </w:r>
      <w:r w:rsidRPr="00383035">
        <w:rPr>
          <w:rFonts w:ascii="Tahoma" w:hAnsi="Tahoma" w:cs="Tahoma"/>
          <w:spacing w:val="-2"/>
          <w:sz w:val="20"/>
          <w:szCs w:val="20"/>
        </w:rPr>
        <w:t>Tribunal d</w:t>
      </w:r>
      <w:r w:rsidRPr="00383035">
        <w:rPr>
          <w:rFonts w:ascii="Tahoma" w:hAnsi="Tahoma" w:cs="Tahoma"/>
          <w:sz w:val="20"/>
          <w:szCs w:val="20"/>
        </w:rPr>
        <w:t>ispuso el inicio del procedimiento administrativo sancionador contra el Postor, por su supuesta responsabilidad en la presentación de documentación falsa y/o inexacta como parte de su propuesta técnica durante la Adjudicación Directa Pública № 0002-2008-SENAMHI, consistente en la Declaración Jurada de Bienes Elaborados en Territorio Nacional (Anexo № 09), infracción tipificada en el numeral 9) del artículo 294 del Reglamento de la Ley de Contrataciones y Adquisiciones del Estado, y le otorgó el plazo de diez días hábiles para que presente sus descargos, bajo apercibimiento de resolver con la documentación obrante en autos.</w:t>
      </w:r>
    </w:p>
    <w:p w:rsidR="00383035" w:rsidRPr="00383035" w:rsidRDefault="00383035" w:rsidP="00383035">
      <w:pPr>
        <w:ind w:left="567"/>
        <w:jc w:val="both"/>
        <w:rPr>
          <w:rFonts w:ascii="Tahoma" w:hAnsi="Tahoma" w:cs="Tahoma"/>
          <w:sz w:val="20"/>
          <w:szCs w:val="20"/>
        </w:rPr>
      </w:pPr>
    </w:p>
    <w:p w:rsidR="00383035" w:rsidRPr="00383035" w:rsidRDefault="00383035" w:rsidP="00383035">
      <w:pPr>
        <w:numPr>
          <w:ilvl w:val="0"/>
          <w:numId w:val="21"/>
        </w:numPr>
        <w:tabs>
          <w:tab w:val="clear" w:pos="360"/>
          <w:tab w:val="num" w:pos="567"/>
        </w:tabs>
        <w:ind w:left="567" w:hanging="567"/>
        <w:jc w:val="both"/>
        <w:rPr>
          <w:rFonts w:ascii="Tahoma" w:hAnsi="Tahoma" w:cs="Tahoma"/>
          <w:sz w:val="20"/>
          <w:szCs w:val="20"/>
        </w:rPr>
      </w:pPr>
      <w:r w:rsidRPr="00383035">
        <w:rPr>
          <w:rFonts w:ascii="Tahoma" w:hAnsi="Tahoma" w:cs="Tahoma"/>
          <w:sz w:val="20"/>
          <w:szCs w:val="20"/>
        </w:rPr>
        <w:t>Con escrito del 3 de marzo de 2009, el representante del legal del Postor presentó su escrito de descargos, bajo los siguientes términos:</w:t>
      </w:r>
    </w:p>
    <w:p w:rsidR="00383035" w:rsidRPr="00383035" w:rsidRDefault="00383035" w:rsidP="00383035">
      <w:pPr>
        <w:pStyle w:val="Prrafodelista"/>
        <w:jc w:val="both"/>
        <w:rPr>
          <w:rFonts w:ascii="Tahoma" w:hAnsi="Tahoma" w:cs="Tahoma"/>
          <w:sz w:val="20"/>
          <w:szCs w:val="20"/>
        </w:rPr>
      </w:pPr>
    </w:p>
    <w:p w:rsidR="00383035" w:rsidRPr="00383035" w:rsidRDefault="00383035" w:rsidP="00383035">
      <w:pPr>
        <w:pStyle w:val="Prrafodelista"/>
        <w:numPr>
          <w:ilvl w:val="0"/>
          <w:numId w:val="23"/>
        </w:numPr>
        <w:tabs>
          <w:tab w:val="left" w:pos="426"/>
        </w:tabs>
        <w:ind w:left="1134" w:hanging="425"/>
        <w:contextualSpacing/>
        <w:jc w:val="both"/>
        <w:rPr>
          <w:rFonts w:ascii="Tahoma" w:hAnsi="Tahoma" w:cs="Tahoma"/>
          <w:sz w:val="20"/>
          <w:szCs w:val="20"/>
        </w:rPr>
      </w:pPr>
      <w:r w:rsidRPr="00383035">
        <w:rPr>
          <w:rFonts w:ascii="Tahoma" w:hAnsi="Tahoma" w:cs="Tahoma"/>
          <w:sz w:val="20"/>
          <w:szCs w:val="20"/>
        </w:rPr>
        <w:t xml:space="preserve">Debe tenerse en cuenta, que la propuesta debe ser evaluada en conjunto y de modo integral, y que si bien la Declaración Jurada de folio № 17 dice textualmente que mi representada </w:t>
      </w:r>
      <w:r w:rsidRPr="00383035">
        <w:rPr>
          <w:rFonts w:ascii="Tahoma" w:hAnsi="Tahoma" w:cs="Tahoma"/>
          <w:i/>
          <w:sz w:val="20"/>
          <w:szCs w:val="20"/>
        </w:rPr>
        <w:t>“elabora los bienes objeto de la convocatoria dentro del territorio nacional”,</w:t>
      </w:r>
      <w:r w:rsidRPr="00383035">
        <w:rPr>
          <w:rFonts w:ascii="Tahoma" w:hAnsi="Tahoma" w:cs="Tahoma"/>
          <w:sz w:val="20"/>
          <w:szCs w:val="20"/>
        </w:rPr>
        <w:t xml:space="preserve"> también lo es que ofertamos entregar los bienes en 60 días (de acuerdo a la Carta de Compromiso de Plazo de Entrega), pues era el tiempo máximo que necesitamos para fabricar los correntómetros. (sic)</w:t>
      </w:r>
    </w:p>
    <w:p w:rsidR="00383035" w:rsidRPr="00383035" w:rsidRDefault="00383035" w:rsidP="00383035">
      <w:pPr>
        <w:pStyle w:val="Prrafodelista"/>
        <w:rPr>
          <w:rFonts w:ascii="Tahoma" w:hAnsi="Tahoma" w:cs="Tahoma"/>
          <w:sz w:val="20"/>
          <w:szCs w:val="20"/>
        </w:rPr>
      </w:pPr>
    </w:p>
    <w:p w:rsidR="00383035" w:rsidRPr="00383035" w:rsidRDefault="00383035" w:rsidP="00383035">
      <w:pPr>
        <w:pStyle w:val="Prrafodelista"/>
        <w:numPr>
          <w:ilvl w:val="0"/>
          <w:numId w:val="23"/>
        </w:numPr>
        <w:tabs>
          <w:tab w:val="left" w:pos="426"/>
        </w:tabs>
        <w:ind w:left="1134" w:hanging="425"/>
        <w:contextualSpacing/>
        <w:jc w:val="both"/>
        <w:rPr>
          <w:rFonts w:ascii="Tahoma" w:hAnsi="Tahoma" w:cs="Tahoma"/>
          <w:sz w:val="20"/>
          <w:szCs w:val="20"/>
        </w:rPr>
      </w:pPr>
      <w:r w:rsidRPr="00383035">
        <w:rPr>
          <w:rFonts w:ascii="Tahoma" w:hAnsi="Tahoma" w:cs="Tahoma"/>
          <w:sz w:val="20"/>
          <w:szCs w:val="20"/>
        </w:rPr>
        <w:t>Asimismo, la fabricación de los correntómetros se hubieran realizado en el Perú, tal y como se demuestra con la presentación de la copia del Registro de la Propiedad Industrial de la marca EDU, otorgado por INDECOPI, para distinguir al correntómetro “Molinete Universal”, documento obrante a folio № 18 de nuestra propuesta técnica. (sic)</w:t>
      </w:r>
    </w:p>
    <w:p w:rsidR="00383035" w:rsidRPr="00383035" w:rsidRDefault="00383035" w:rsidP="00383035">
      <w:pPr>
        <w:pStyle w:val="Prrafodelista"/>
        <w:rPr>
          <w:rFonts w:ascii="Tahoma" w:hAnsi="Tahoma" w:cs="Tahoma"/>
          <w:sz w:val="20"/>
          <w:szCs w:val="20"/>
        </w:rPr>
      </w:pPr>
    </w:p>
    <w:p w:rsidR="00383035" w:rsidRPr="00383035" w:rsidRDefault="00383035" w:rsidP="00383035">
      <w:pPr>
        <w:pStyle w:val="Prrafodelista"/>
        <w:numPr>
          <w:ilvl w:val="0"/>
          <w:numId w:val="23"/>
        </w:numPr>
        <w:tabs>
          <w:tab w:val="left" w:pos="426"/>
        </w:tabs>
        <w:ind w:left="1134" w:hanging="425"/>
        <w:contextualSpacing/>
        <w:jc w:val="both"/>
        <w:rPr>
          <w:rFonts w:ascii="Tahoma" w:hAnsi="Tahoma" w:cs="Tahoma"/>
          <w:sz w:val="20"/>
          <w:szCs w:val="20"/>
        </w:rPr>
      </w:pPr>
      <w:r w:rsidRPr="00383035">
        <w:rPr>
          <w:rFonts w:ascii="Tahoma" w:hAnsi="Tahoma" w:cs="Tahoma"/>
          <w:sz w:val="20"/>
          <w:szCs w:val="20"/>
        </w:rPr>
        <w:t>Adicionalmente a ello, con relación al Informe Pericial emitido por la Cámara de Comercio de Lima, en el cual concluye que no puede opinar sobre el origen de un bien que no existe, ello no constituye prueba alguna de mi representada haya presentado información inexacta</w:t>
      </w:r>
      <w:r w:rsidRPr="00383035">
        <w:rPr>
          <w:rFonts w:ascii="Tahoma" w:hAnsi="Tahoma" w:cs="Tahoma"/>
          <w:bCs/>
          <w:sz w:val="20"/>
          <w:szCs w:val="20"/>
        </w:rPr>
        <w:t>.</w:t>
      </w:r>
    </w:p>
    <w:p w:rsidR="00383035" w:rsidRPr="00383035" w:rsidRDefault="00383035" w:rsidP="00383035">
      <w:pPr>
        <w:pStyle w:val="Prrafodelista"/>
        <w:rPr>
          <w:rFonts w:ascii="Tahoma" w:hAnsi="Tahoma" w:cs="Tahoma"/>
          <w:sz w:val="20"/>
          <w:szCs w:val="20"/>
        </w:rPr>
      </w:pPr>
    </w:p>
    <w:p w:rsidR="00383035" w:rsidRPr="00383035" w:rsidRDefault="00383035" w:rsidP="00383035">
      <w:pPr>
        <w:pStyle w:val="Prrafodelista"/>
        <w:numPr>
          <w:ilvl w:val="0"/>
          <w:numId w:val="23"/>
        </w:numPr>
        <w:tabs>
          <w:tab w:val="left" w:pos="426"/>
        </w:tabs>
        <w:ind w:left="1134" w:hanging="425"/>
        <w:contextualSpacing/>
        <w:jc w:val="both"/>
        <w:rPr>
          <w:rFonts w:ascii="Tahoma" w:hAnsi="Tahoma" w:cs="Tahoma"/>
          <w:sz w:val="20"/>
          <w:szCs w:val="20"/>
        </w:rPr>
      </w:pPr>
      <w:r w:rsidRPr="00383035">
        <w:rPr>
          <w:rFonts w:ascii="Tahoma" w:hAnsi="Tahoma" w:cs="Tahoma"/>
          <w:sz w:val="20"/>
          <w:szCs w:val="20"/>
        </w:rPr>
        <w:t>En efecto, la propuesta no contiene información inexacta, en tanto los correntómetros se iban a fabricar dentro del plazo ofertado de 60 días, destacando que éstos, tienen un tiempo determinado de fabricación.</w:t>
      </w:r>
    </w:p>
    <w:p w:rsidR="00383035" w:rsidRPr="00383035" w:rsidRDefault="00383035" w:rsidP="00383035">
      <w:pPr>
        <w:pStyle w:val="Prrafodelista"/>
        <w:ind w:left="1134" w:hanging="425"/>
        <w:rPr>
          <w:rFonts w:ascii="Tahoma" w:hAnsi="Tahoma" w:cs="Tahoma"/>
          <w:sz w:val="20"/>
          <w:szCs w:val="20"/>
        </w:rPr>
      </w:pPr>
    </w:p>
    <w:p w:rsidR="00383035" w:rsidRPr="00383035" w:rsidRDefault="00383035" w:rsidP="00383035">
      <w:pPr>
        <w:pStyle w:val="Prrafodelista"/>
        <w:numPr>
          <w:ilvl w:val="0"/>
          <w:numId w:val="23"/>
        </w:numPr>
        <w:tabs>
          <w:tab w:val="left" w:pos="426"/>
        </w:tabs>
        <w:ind w:left="1134" w:hanging="425"/>
        <w:contextualSpacing/>
        <w:jc w:val="both"/>
        <w:rPr>
          <w:rFonts w:ascii="Tahoma" w:hAnsi="Tahoma" w:cs="Tahoma"/>
          <w:sz w:val="20"/>
          <w:szCs w:val="20"/>
        </w:rPr>
      </w:pPr>
      <w:r w:rsidRPr="00383035">
        <w:rPr>
          <w:rFonts w:ascii="Tahoma" w:hAnsi="Tahoma" w:cs="Tahoma"/>
          <w:sz w:val="20"/>
          <w:szCs w:val="20"/>
        </w:rPr>
        <w:t>Finalmente, manifestó que no causó daño alguno a la Entidad, por lo tanto solicitó se le exima de sanción administrativa.</w:t>
      </w:r>
    </w:p>
    <w:p w:rsidR="00383035" w:rsidRPr="00383035" w:rsidRDefault="00383035" w:rsidP="00383035">
      <w:pPr>
        <w:pStyle w:val="Prrafodelista"/>
        <w:rPr>
          <w:rFonts w:ascii="Tahoma" w:hAnsi="Tahoma" w:cs="Tahoma"/>
          <w:sz w:val="20"/>
          <w:szCs w:val="20"/>
        </w:rPr>
      </w:pPr>
    </w:p>
    <w:p w:rsidR="00B55A4A" w:rsidRDefault="00383035" w:rsidP="00B55A4A">
      <w:pPr>
        <w:pStyle w:val="Prrafodelista"/>
        <w:widowControl w:val="0"/>
        <w:numPr>
          <w:ilvl w:val="0"/>
          <w:numId w:val="21"/>
        </w:numPr>
        <w:tabs>
          <w:tab w:val="clear" w:pos="360"/>
          <w:tab w:val="num" w:pos="567"/>
        </w:tabs>
        <w:autoSpaceDE w:val="0"/>
        <w:autoSpaceDN w:val="0"/>
        <w:adjustRightInd w:val="0"/>
        <w:ind w:left="567" w:hanging="567"/>
        <w:jc w:val="both"/>
        <w:rPr>
          <w:rFonts w:ascii="Tahoma" w:hAnsi="Tahoma" w:cs="Tahoma"/>
          <w:sz w:val="20"/>
          <w:szCs w:val="20"/>
        </w:rPr>
      </w:pPr>
      <w:r w:rsidRPr="00B55A4A">
        <w:rPr>
          <w:rFonts w:ascii="Tahoma" w:hAnsi="Tahoma" w:cs="Tahoma"/>
          <w:sz w:val="20"/>
          <w:szCs w:val="20"/>
        </w:rPr>
        <w:t>Mediante decreto de fecha 4 de marzo de 2008, se tuvo por apersonado al Postor a la instancia administrativa, por presentado sus descargos, y se dispuso remitir el expediente a la Tercera Sala del Tribunal para que resolviera.</w:t>
      </w:r>
    </w:p>
    <w:p w:rsidR="00B55A4A" w:rsidRDefault="00B55A4A" w:rsidP="00B55A4A">
      <w:pPr>
        <w:pStyle w:val="Prrafodelista"/>
        <w:widowControl w:val="0"/>
        <w:autoSpaceDE w:val="0"/>
        <w:autoSpaceDN w:val="0"/>
        <w:adjustRightInd w:val="0"/>
        <w:ind w:left="567"/>
        <w:jc w:val="both"/>
        <w:rPr>
          <w:rFonts w:ascii="Tahoma" w:hAnsi="Tahoma" w:cs="Tahoma"/>
          <w:sz w:val="20"/>
          <w:szCs w:val="20"/>
        </w:rPr>
      </w:pPr>
    </w:p>
    <w:p w:rsidR="00B55A4A" w:rsidRDefault="00383035" w:rsidP="00B55A4A">
      <w:pPr>
        <w:pStyle w:val="Prrafodelista"/>
        <w:widowControl w:val="0"/>
        <w:numPr>
          <w:ilvl w:val="0"/>
          <w:numId w:val="21"/>
        </w:numPr>
        <w:tabs>
          <w:tab w:val="clear" w:pos="360"/>
          <w:tab w:val="num" w:pos="567"/>
        </w:tabs>
        <w:autoSpaceDE w:val="0"/>
        <w:autoSpaceDN w:val="0"/>
        <w:adjustRightInd w:val="0"/>
        <w:ind w:left="567" w:hanging="567"/>
        <w:jc w:val="both"/>
        <w:rPr>
          <w:rFonts w:ascii="Tahoma" w:hAnsi="Tahoma" w:cs="Tahoma"/>
          <w:sz w:val="20"/>
          <w:szCs w:val="20"/>
        </w:rPr>
      </w:pPr>
      <w:r w:rsidRPr="00B55A4A">
        <w:rPr>
          <w:rFonts w:ascii="Tahoma" w:hAnsi="Tahoma" w:cs="Tahoma"/>
          <w:sz w:val="20"/>
          <w:szCs w:val="20"/>
        </w:rPr>
        <w:t>A través del escrito presentado el 21 de abril de 2009, la Entidad solicitó que se le imponga sanciona administrativa al Postor.</w:t>
      </w:r>
    </w:p>
    <w:p w:rsidR="00B55A4A" w:rsidRPr="00B55A4A" w:rsidRDefault="00B55A4A" w:rsidP="00B55A4A">
      <w:pPr>
        <w:pStyle w:val="Prrafodelista"/>
        <w:rPr>
          <w:rFonts w:ascii="Tahoma" w:hAnsi="Tahoma" w:cs="Tahoma"/>
          <w:sz w:val="20"/>
          <w:szCs w:val="20"/>
          <w:lang w:val="es-PE"/>
        </w:rPr>
      </w:pPr>
    </w:p>
    <w:p w:rsidR="00B55A4A" w:rsidRPr="00B55A4A" w:rsidRDefault="00383035" w:rsidP="00B55A4A">
      <w:pPr>
        <w:pStyle w:val="Prrafodelista"/>
        <w:widowControl w:val="0"/>
        <w:numPr>
          <w:ilvl w:val="0"/>
          <w:numId w:val="21"/>
        </w:numPr>
        <w:tabs>
          <w:tab w:val="clear" w:pos="360"/>
          <w:tab w:val="num" w:pos="567"/>
        </w:tabs>
        <w:autoSpaceDE w:val="0"/>
        <w:autoSpaceDN w:val="0"/>
        <w:adjustRightInd w:val="0"/>
        <w:ind w:left="567" w:hanging="567"/>
        <w:jc w:val="both"/>
        <w:rPr>
          <w:rFonts w:ascii="Tahoma" w:hAnsi="Tahoma" w:cs="Tahoma"/>
          <w:sz w:val="20"/>
          <w:szCs w:val="20"/>
        </w:rPr>
      </w:pPr>
      <w:r w:rsidRPr="00B55A4A">
        <w:rPr>
          <w:rFonts w:ascii="Tahoma" w:hAnsi="Tahoma" w:cs="Tahoma"/>
          <w:sz w:val="20"/>
          <w:szCs w:val="20"/>
          <w:lang w:val="es-PE"/>
        </w:rPr>
        <w:t>A través del decreto de fecha 30 de marzo de 2010, visto la Resolución № 044-2010-EF que designó a los vocales del Tribunal y la Resolución № 190-2010-OSCE/PRE de fecha 29 de marzo de 2010 que conformó las salas del Tribunal, se reasignó y se remitió el presente expediente a la Tercera Sala del Tribunal para que continúe según su estado.</w:t>
      </w:r>
    </w:p>
    <w:p w:rsidR="00B55A4A" w:rsidRPr="00B55A4A" w:rsidRDefault="00B55A4A" w:rsidP="00B55A4A">
      <w:pPr>
        <w:pStyle w:val="Prrafodelista"/>
        <w:rPr>
          <w:rFonts w:ascii="Tahoma" w:hAnsi="Tahoma" w:cs="Tahoma"/>
          <w:sz w:val="20"/>
          <w:szCs w:val="20"/>
          <w:lang w:val="es-PE"/>
        </w:rPr>
      </w:pPr>
    </w:p>
    <w:p w:rsidR="00B55A4A" w:rsidRPr="00B55A4A" w:rsidRDefault="00383035" w:rsidP="00B55A4A">
      <w:pPr>
        <w:pStyle w:val="Prrafodelista"/>
        <w:widowControl w:val="0"/>
        <w:numPr>
          <w:ilvl w:val="0"/>
          <w:numId w:val="21"/>
        </w:numPr>
        <w:tabs>
          <w:tab w:val="clear" w:pos="360"/>
          <w:tab w:val="num" w:pos="567"/>
        </w:tabs>
        <w:autoSpaceDE w:val="0"/>
        <w:autoSpaceDN w:val="0"/>
        <w:adjustRightInd w:val="0"/>
        <w:ind w:left="567" w:hanging="567"/>
        <w:jc w:val="both"/>
        <w:rPr>
          <w:rFonts w:ascii="Tahoma" w:hAnsi="Tahoma" w:cs="Tahoma"/>
          <w:sz w:val="20"/>
          <w:szCs w:val="20"/>
        </w:rPr>
      </w:pPr>
      <w:r w:rsidRPr="00B55A4A">
        <w:rPr>
          <w:rFonts w:ascii="Tahoma" w:hAnsi="Tahoma" w:cs="Tahoma"/>
          <w:sz w:val="20"/>
          <w:szCs w:val="20"/>
          <w:lang w:val="es-PE"/>
        </w:rPr>
        <w:t xml:space="preserve">Mediante decreto de fecha 16 de febrero de 2011, visto la </w:t>
      </w:r>
      <w:r w:rsidRPr="00B55A4A">
        <w:rPr>
          <w:rFonts w:ascii="Tahoma" w:eastAsiaTheme="minorHAnsi" w:hAnsi="Tahoma" w:cs="Tahoma"/>
          <w:color w:val="000000"/>
          <w:sz w:val="20"/>
          <w:szCs w:val="20"/>
        </w:rPr>
        <w:t>Resolución № 103-2011-OSCE/PRE</w:t>
      </w:r>
      <w:r w:rsidRPr="00B55A4A">
        <w:rPr>
          <w:rFonts w:ascii="Tahoma" w:hAnsi="Tahoma" w:cs="Tahoma"/>
          <w:sz w:val="20"/>
          <w:szCs w:val="20"/>
          <w:lang w:val="es-PE"/>
        </w:rPr>
        <w:t xml:space="preserve"> de fecha 15 de febrero de 2011 que reconformó las salas del Tribunal, se reasignó y se remitió el presente expediente a la Primera Sala del Tribunal para que continúe según su estado.</w:t>
      </w:r>
    </w:p>
    <w:p w:rsidR="00B55A4A" w:rsidRPr="00B55A4A" w:rsidRDefault="00B55A4A" w:rsidP="00B55A4A">
      <w:pPr>
        <w:pStyle w:val="Prrafodelista"/>
        <w:rPr>
          <w:rFonts w:ascii="Tahoma" w:hAnsi="Tahoma" w:cs="Tahoma"/>
          <w:sz w:val="20"/>
          <w:szCs w:val="20"/>
          <w:lang w:val="es-ES_tradnl"/>
        </w:rPr>
      </w:pPr>
    </w:p>
    <w:p w:rsidR="00383035" w:rsidRPr="00B55A4A" w:rsidRDefault="00383035" w:rsidP="00B55A4A">
      <w:pPr>
        <w:pStyle w:val="Prrafodelista"/>
        <w:widowControl w:val="0"/>
        <w:numPr>
          <w:ilvl w:val="0"/>
          <w:numId w:val="21"/>
        </w:numPr>
        <w:tabs>
          <w:tab w:val="clear" w:pos="360"/>
          <w:tab w:val="num" w:pos="567"/>
        </w:tabs>
        <w:autoSpaceDE w:val="0"/>
        <w:autoSpaceDN w:val="0"/>
        <w:adjustRightInd w:val="0"/>
        <w:ind w:left="567" w:hanging="567"/>
        <w:jc w:val="both"/>
        <w:rPr>
          <w:rFonts w:ascii="Tahoma" w:hAnsi="Tahoma" w:cs="Tahoma"/>
          <w:sz w:val="20"/>
          <w:szCs w:val="20"/>
        </w:rPr>
      </w:pPr>
      <w:r w:rsidRPr="00B55A4A">
        <w:rPr>
          <w:rFonts w:ascii="Tahoma" w:hAnsi="Tahoma" w:cs="Tahoma"/>
          <w:sz w:val="20"/>
          <w:szCs w:val="20"/>
          <w:lang w:val="es-ES_tradnl"/>
        </w:rPr>
        <w:t>A través del decreto de fecha 15 de marzo de 2011, el Tribunal programó Audiencia Pública, la misma que se llevaría a cabo el 22 del mismo mes y año, sin embargo, ésta quedo frustrada por la inasistencia de las partes.</w:t>
      </w:r>
    </w:p>
    <w:p w:rsidR="00F31A7A" w:rsidRPr="00383035" w:rsidRDefault="00F31A7A" w:rsidP="00F31A7A">
      <w:pPr>
        <w:jc w:val="both"/>
        <w:rPr>
          <w:rFonts w:ascii="Tahoma" w:hAnsi="Tahoma" w:cs="Tahoma"/>
          <w:sz w:val="20"/>
          <w:szCs w:val="20"/>
        </w:rPr>
      </w:pPr>
    </w:p>
    <w:p w:rsidR="00F31A7A" w:rsidRPr="00383035" w:rsidRDefault="00F31A7A" w:rsidP="00F31A7A">
      <w:pPr>
        <w:pStyle w:val="Textoindependiente"/>
        <w:tabs>
          <w:tab w:val="left" w:pos="-2340"/>
          <w:tab w:val="left" w:pos="567"/>
        </w:tabs>
        <w:ind w:left="567" w:hanging="567"/>
        <w:rPr>
          <w:rFonts w:cs="Tahoma"/>
          <w:b/>
          <w:shadow/>
          <w:sz w:val="20"/>
        </w:rPr>
      </w:pPr>
      <w:r w:rsidRPr="00383035">
        <w:rPr>
          <w:rFonts w:cs="Tahoma"/>
          <w:b/>
          <w:shadow/>
          <w:sz w:val="20"/>
        </w:rPr>
        <w:t>FUNDAMENTACIÓN:</w:t>
      </w:r>
      <w:r w:rsidRPr="00383035">
        <w:rPr>
          <w:rFonts w:cs="Tahoma"/>
          <w:b/>
          <w:shadow/>
          <w:sz w:val="20"/>
        </w:rPr>
        <w:tab/>
      </w:r>
    </w:p>
    <w:p w:rsidR="00F31A7A" w:rsidRPr="00383035" w:rsidRDefault="00F31A7A" w:rsidP="00F31A7A">
      <w:pPr>
        <w:rPr>
          <w:rFonts w:ascii="Tahoma" w:hAnsi="Tahoma" w:cs="Tahoma"/>
          <w:sz w:val="20"/>
          <w:szCs w:val="20"/>
        </w:rPr>
      </w:pPr>
      <w:r w:rsidRPr="00383035">
        <w:rPr>
          <w:rFonts w:ascii="Tahoma" w:hAnsi="Tahoma" w:cs="Tahoma"/>
          <w:sz w:val="20"/>
          <w:szCs w:val="20"/>
        </w:rPr>
        <w:t xml:space="preserve"> </w:t>
      </w:r>
    </w:p>
    <w:p w:rsidR="00383035" w:rsidRPr="00383035" w:rsidRDefault="00383035" w:rsidP="00383035">
      <w:pPr>
        <w:pStyle w:val="Prrafodelista"/>
        <w:numPr>
          <w:ilvl w:val="0"/>
          <w:numId w:val="7"/>
        </w:numPr>
        <w:ind w:left="567" w:hanging="567"/>
        <w:contextualSpacing/>
        <w:jc w:val="both"/>
        <w:rPr>
          <w:rFonts w:ascii="Tahoma" w:hAnsi="Tahoma" w:cs="Tahoma"/>
          <w:sz w:val="20"/>
          <w:szCs w:val="20"/>
        </w:rPr>
      </w:pPr>
      <w:r w:rsidRPr="00383035">
        <w:rPr>
          <w:rFonts w:ascii="Tahoma" w:hAnsi="Tahoma" w:cs="Tahoma"/>
          <w:sz w:val="20"/>
          <w:szCs w:val="20"/>
        </w:rPr>
        <w:t>El numeral 1 del artículo 235 de la Ley № 27444, Ley del Procedimiento Administrativo General, establece que el procedimiento administrativo sancionador se inicia siempre de oficio, bien por propia iniciativa o como consecuencia de una orden superior, petición motivada de otros órganos o entidades o por denuncia.</w:t>
      </w:r>
    </w:p>
    <w:p w:rsidR="00383035" w:rsidRPr="00383035" w:rsidRDefault="00383035" w:rsidP="00383035">
      <w:pPr>
        <w:pStyle w:val="Prrafodelista"/>
        <w:ind w:left="567"/>
        <w:jc w:val="both"/>
        <w:rPr>
          <w:rFonts w:ascii="Tahoma" w:hAnsi="Tahoma" w:cs="Tahoma"/>
          <w:sz w:val="20"/>
          <w:szCs w:val="20"/>
        </w:rPr>
      </w:pPr>
    </w:p>
    <w:p w:rsidR="00383035" w:rsidRPr="00383035" w:rsidRDefault="00383035" w:rsidP="00383035">
      <w:pPr>
        <w:pStyle w:val="Prrafodelista"/>
        <w:numPr>
          <w:ilvl w:val="0"/>
          <w:numId w:val="7"/>
        </w:numPr>
        <w:ind w:left="567" w:hanging="567"/>
        <w:contextualSpacing/>
        <w:jc w:val="both"/>
        <w:rPr>
          <w:rFonts w:ascii="Tahoma" w:hAnsi="Tahoma" w:cs="Tahoma"/>
          <w:sz w:val="20"/>
          <w:szCs w:val="20"/>
        </w:rPr>
      </w:pPr>
      <w:r w:rsidRPr="00383035">
        <w:rPr>
          <w:rFonts w:ascii="Tahoma" w:hAnsi="Tahoma" w:cs="Tahoma"/>
          <w:sz w:val="20"/>
          <w:szCs w:val="20"/>
        </w:rPr>
        <w:t xml:space="preserve">En ese sentido, el Tribunal es el órgano que tiene a su cargo el conocimiento y resolución de los procedimientos de imposición de sanción de inhabilitación temporal o definitiva para contratar con el Estado, en los casos expresamente tipificados en el artículo 52 de Ley de Contrataciones y Adquisiciones de Estado, aprobado mediante Decreto Supremo № 083-2004-PCM, y el artículo 294 del Reglamento de la Ley de Contrataciones y Adquisiciones del Estado, aprobado mediante Decreto Supremo № 084-2004-PCM, en lo </w:t>
      </w:r>
      <w:r w:rsidRPr="00383035">
        <w:rPr>
          <w:rFonts w:ascii="Tahoma" w:hAnsi="Tahoma" w:cs="Tahoma"/>
          <w:sz w:val="20"/>
          <w:szCs w:val="20"/>
        </w:rPr>
        <w:lastRenderedPageBreak/>
        <w:t>sucesivo la Ley y el Reglamento; sin perjuicio de las acciones legales que corresponda adoptar a las entidades dentro de sus respectivas atribuciones.</w:t>
      </w:r>
    </w:p>
    <w:p w:rsidR="00383035" w:rsidRPr="00383035" w:rsidRDefault="00383035" w:rsidP="00383035">
      <w:pPr>
        <w:pStyle w:val="Prrafodelista"/>
        <w:rPr>
          <w:rFonts w:ascii="Tahoma" w:hAnsi="Tahoma" w:cs="Tahoma"/>
          <w:sz w:val="20"/>
          <w:szCs w:val="20"/>
        </w:rPr>
      </w:pPr>
    </w:p>
    <w:p w:rsidR="00383035" w:rsidRPr="00383035" w:rsidRDefault="00383035" w:rsidP="00383035">
      <w:pPr>
        <w:pStyle w:val="Prrafodelista"/>
        <w:numPr>
          <w:ilvl w:val="0"/>
          <w:numId w:val="7"/>
        </w:numPr>
        <w:ind w:left="567" w:hanging="567"/>
        <w:contextualSpacing/>
        <w:jc w:val="both"/>
        <w:rPr>
          <w:rFonts w:ascii="Tahoma" w:hAnsi="Tahoma" w:cs="Tahoma"/>
          <w:sz w:val="20"/>
          <w:szCs w:val="20"/>
        </w:rPr>
      </w:pPr>
      <w:r w:rsidRPr="00383035">
        <w:rPr>
          <w:rFonts w:ascii="Tahoma" w:hAnsi="Tahoma" w:cs="Tahoma"/>
          <w:sz w:val="20"/>
          <w:szCs w:val="20"/>
        </w:rPr>
        <w:t>El presente procedimiento está referido a la supuesta responsabilidad del Postor por haber presentado información falsa y/o inexacta, infracción tipificada en el numeral 9) del artículo 294 del Reglamento, norma vigente al momento de suscitarse los hechos imputados.</w:t>
      </w:r>
    </w:p>
    <w:p w:rsidR="00383035" w:rsidRPr="00383035" w:rsidRDefault="00383035" w:rsidP="00383035">
      <w:pPr>
        <w:pStyle w:val="Prrafodelista"/>
        <w:rPr>
          <w:rFonts w:ascii="Tahoma" w:hAnsi="Tahoma" w:cs="Tahoma"/>
          <w:sz w:val="20"/>
          <w:szCs w:val="20"/>
        </w:rPr>
      </w:pPr>
    </w:p>
    <w:p w:rsidR="00383035" w:rsidRPr="00383035" w:rsidRDefault="00383035" w:rsidP="00383035">
      <w:pPr>
        <w:pStyle w:val="Prrafodelista"/>
        <w:numPr>
          <w:ilvl w:val="0"/>
          <w:numId w:val="7"/>
        </w:numPr>
        <w:ind w:left="567" w:hanging="567"/>
        <w:contextualSpacing/>
        <w:jc w:val="both"/>
        <w:rPr>
          <w:rFonts w:ascii="Tahoma" w:hAnsi="Tahoma" w:cs="Tahoma"/>
          <w:sz w:val="20"/>
          <w:szCs w:val="20"/>
        </w:rPr>
      </w:pPr>
      <w:r w:rsidRPr="00383035">
        <w:rPr>
          <w:rFonts w:ascii="Tahoma" w:hAnsi="Tahoma" w:cs="Tahoma"/>
          <w:sz w:val="20"/>
          <w:szCs w:val="20"/>
        </w:rPr>
        <w:t>Al respecto, la infracción imputada al Postor corresponde a lo señalado en el numeral 9) del artículo 294 del Reglamento</w:t>
      </w:r>
      <w:r w:rsidRPr="00383035">
        <w:rPr>
          <w:rStyle w:val="Refdenotaalpie"/>
          <w:rFonts w:ascii="Tahoma" w:hAnsi="Tahoma" w:cs="Tahoma"/>
          <w:sz w:val="20"/>
          <w:szCs w:val="20"/>
        </w:rPr>
        <w:footnoteReference w:id="2"/>
      </w:r>
      <w:r w:rsidRPr="00383035">
        <w:rPr>
          <w:rFonts w:ascii="Tahoma" w:hAnsi="Tahoma" w:cs="Tahoma"/>
          <w:sz w:val="20"/>
          <w:szCs w:val="20"/>
        </w:rPr>
        <w:t>, la cual se configura con la sola presentación de documentos falsos y/o declaraciones juradas con información inexacta ante la Entidad o al CONSUCODE (hoy OSCE), es decir con la sola afectación del principio de presunción de veracidad</w:t>
      </w:r>
      <w:r w:rsidRPr="00383035">
        <w:rPr>
          <w:rStyle w:val="Refdenotaalpie"/>
          <w:rFonts w:ascii="Tahoma" w:hAnsi="Tahoma" w:cs="Tahoma"/>
          <w:sz w:val="20"/>
          <w:szCs w:val="20"/>
        </w:rPr>
        <w:footnoteReference w:id="3"/>
      </w:r>
      <w:r w:rsidRPr="00383035">
        <w:rPr>
          <w:rFonts w:ascii="Tahoma" w:hAnsi="Tahoma" w:cs="Tahoma"/>
          <w:sz w:val="20"/>
          <w:szCs w:val="20"/>
        </w:rPr>
        <w:t xml:space="preserve"> consagrado en el acápite 1.7 del Artículo IV del Título Preliminar de la Ley del Procedimiento Administrativo General, Ley № 27444, sin que la norma exija otros factores adicionales, por cuanto la Administración presume que todos los documentos y declaraciones formuladas por los administrados responden a la verdad de los hechos que ellos afirman. </w:t>
      </w:r>
    </w:p>
    <w:p w:rsidR="00383035" w:rsidRPr="00383035" w:rsidRDefault="00383035" w:rsidP="00383035">
      <w:pPr>
        <w:pStyle w:val="Prrafodelista"/>
        <w:ind w:left="567"/>
        <w:jc w:val="both"/>
        <w:rPr>
          <w:rFonts w:ascii="Tahoma" w:hAnsi="Tahoma" w:cs="Tahoma"/>
          <w:sz w:val="20"/>
          <w:szCs w:val="20"/>
        </w:rPr>
      </w:pPr>
    </w:p>
    <w:p w:rsidR="00383035" w:rsidRPr="00383035" w:rsidRDefault="00383035" w:rsidP="00383035">
      <w:pPr>
        <w:pStyle w:val="Prrafodelista"/>
        <w:numPr>
          <w:ilvl w:val="0"/>
          <w:numId w:val="7"/>
        </w:numPr>
        <w:ind w:left="567" w:hanging="567"/>
        <w:contextualSpacing/>
        <w:jc w:val="both"/>
        <w:rPr>
          <w:rFonts w:ascii="Tahoma" w:hAnsi="Tahoma" w:cs="Tahoma"/>
          <w:sz w:val="20"/>
          <w:szCs w:val="20"/>
        </w:rPr>
      </w:pPr>
      <w:r w:rsidRPr="00383035">
        <w:rPr>
          <w:rFonts w:ascii="Tahoma" w:hAnsi="Tahoma" w:cs="Tahoma"/>
          <w:sz w:val="20"/>
          <w:szCs w:val="20"/>
        </w:rPr>
        <w:t xml:space="preserve">Por otro lado, el literal c) del artículo 76 del Reglamento establece que los postores y/o contratistas </w:t>
      </w:r>
      <w:r w:rsidRPr="00383035">
        <w:rPr>
          <w:rFonts w:ascii="Tahoma" w:hAnsi="Tahoma" w:cs="Tahoma"/>
          <w:b/>
          <w:sz w:val="20"/>
          <w:szCs w:val="20"/>
        </w:rPr>
        <w:t>son responsables de la veracidad de los documentos e información que presentan para efectos de un proceso de selección determinado</w:t>
      </w:r>
      <w:r w:rsidRPr="00383035">
        <w:rPr>
          <w:rFonts w:ascii="Tahoma" w:hAnsi="Tahoma" w:cs="Tahoma"/>
          <w:sz w:val="20"/>
          <w:szCs w:val="20"/>
        </w:rPr>
        <w:t>.</w:t>
      </w:r>
    </w:p>
    <w:p w:rsidR="00383035" w:rsidRPr="00383035" w:rsidRDefault="00383035" w:rsidP="00383035">
      <w:pPr>
        <w:pStyle w:val="Prrafodelista"/>
        <w:rPr>
          <w:rFonts w:ascii="Tahoma" w:hAnsi="Tahoma" w:cs="Tahoma"/>
          <w:sz w:val="20"/>
          <w:szCs w:val="20"/>
        </w:rPr>
      </w:pPr>
    </w:p>
    <w:p w:rsidR="00383035" w:rsidRPr="00383035" w:rsidRDefault="00383035" w:rsidP="00383035">
      <w:pPr>
        <w:pStyle w:val="Prrafodelista"/>
        <w:numPr>
          <w:ilvl w:val="0"/>
          <w:numId w:val="7"/>
        </w:numPr>
        <w:ind w:left="567" w:hanging="567"/>
        <w:contextualSpacing/>
        <w:jc w:val="both"/>
        <w:rPr>
          <w:rFonts w:ascii="Tahoma" w:hAnsi="Tahoma" w:cs="Tahoma"/>
          <w:sz w:val="20"/>
          <w:szCs w:val="20"/>
        </w:rPr>
      </w:pPr>
      <w:r w:rsidRPr="00383035">
        <w:rPr>
          <w:rFonts w:ascii="Tahoma" w:hAnsi="Tahoma" w:cs="Tahoma"/>
          <w:sz w:val="20"/>
          <w:szCs w:val="20"/>
        </w:rPr>
        <w:t xml:space="preserve">Asimismo, </w:t>
      </w:r>
      <w:r w:rsidRPr="00383035">
        <w:rPr>
          <w:rFonts w:ascii="Tahoma" w:hAnsi="Tahoma" w:cs="Tahoma"/>
          <w:sz w:val="20"/>
          <w:szCs w:val="20"/>
          <w:lang w:val="es-MX"/>
        </w:rPr>
        <w:t xml:space="preserve">el artículo 42 de la Ley de Procedimiento Administrativo General, establece que todas las declaraciones juradas, los documentos sucedáneos presentados y la información incluida en los escritos y formularios que presenten los administrados para la realización de procedimientos administrativos, </w:t>
      </w:r>
      <w:r w:rsidRPr="00383035">
        <w:rPr>
          <w:rFonts w:ascii="Tahoma" w:hAnsi="Tahoma" w:cs="Tahoma"/>
          <w:b/>
          <w:sz w:val="20"/>
          <w:szCs w:val="20"/>
          <w:lang w:val="es-MX"/>
        </w:rPr>
        <w:t>se presumen verificados por quien hace uso de ellos, así como de contenido veraz para fines del procedimiento administrativo</w:t>
      </w:r>
      <w:r w:rsidRPr="00383035">
        <w:rPr>
          <w:rFonts w:ascii="Tahoma" w:hAnsi="Tahoma" w:cs="Tahoma"/>
          <w:sz w:val="20"/>
          <w:szCs w:val="20"/>
          <w:lang w:val="es-MX"/>
        </w:rPr>
        <w:t>. Sin embargo, esta presunción admite prueba en contrario, es decir, es atribución de la Administración Pública verificar la documentación presentada cuando existen indicios suficientes de que la información consignada no se ajusta a los hechos.</w:t>
      </w:r>
    </w:p>
    <w:p w:rsidR="00383035" w:rsidRPr="00383035" w:rsidRDefault="00383035" w:rsidP="00383035">
      <w:pPr>
        <w:pStyle w:val="Prrafodelista"/>
        <w:rPr>
          <w:rFonts w:ascii="Tahoma" w:hAnsi="Tahoma" w:cs="Tahoma"/>
          <w:sz w:val="20"/>
          <w:szCs w:val="20"/>
        </w:rPr>
      </w:pPr>
    </w:p>
    <w:p w:rsidR="00383035" w:rsidRPr="00383035" w:rsidRDefault="00383035" w:rsidP="00383035">
      <w:pPr>
        <w:pStyle w:val="Prrafodelista"/>
        <w:numPr>
          <w:ilvl w:val="0"/>
          <w:numId w:val="7"/>
        </w:numPr>
        <w:ind w:left="567" w:hanging="567"/>
        <w:contextualSpacing/>
        <w:jc w:val="both"/>
        <w:rPr>
          <w:rFonts w:ascii="Tahoma" w:hAnsi="Tahoma" w:cs="Tahoma"/>
          <w:sz w:val="20"/>
          <w:szCs w:val="20"/>
        </w:rPr>
      </w:pPr>
      <w:r w:rsidRPr="00383035">
        <w:rPr>
          <w:rFonts w:ascii="Tahoma" w:hAnsi="Tahoma" w:cs="Tahoma"/>
          <w:sz w:val="20"/>
          <w:szCs w:val="20"/>
        </w:rPr>
        <w:t xml:space="preserve">Ahora bien, para la configuración del supuesto de hecho de la presentación de documentación falsa, se requiere previamente acreditar su falsedad, es decir, que el documento o los documentos cuestionados no hayan sido expedidos por el órgano emisor o que siendo válidamente expedidos hayan sido adulterados en su contenido. </w:t>
      </w:r>
    </w:p>
    <w:p w:rsidR="00383035" w:rsidRPr="00383035" w:rsidRDefault="00383035" w:rsidP="00383035">
      <w:pPr>
        <w:pStyle w:val="Prrafodelista"/>
        <w:rPr>
          <w:rFonts w:ascii="Tahoma" w:hAnsi="Tahoma" w:cs="Tahoma"/>
          <w:sz w:val="20"/>
          <w:szCs w:val="20"/>
        </w:rPr>
      </w:pPr>
    </w:p>
    <w:p w:rsidR="00383035" w:rsidRPr="00383035" w:rsidRDefault="00383035" w:rsidP="00383035">
      <w:pPr>
        <w:pStyle w:val="Prrafodelista"/>
        <w:ind w:left="567"/>
        <w:jc w:val="both"/>
        <w:rPr>
          <w:rFonts w:ascii="Tahoma" w:hAnsi="Tahoma" w:cs="Tahoma"/>
          <w:sz w:val="20"/>
          <w:szCs w:val="20"/>
        </w:rPr>
      </w:pPr>
      <w:r w:rsidRPr="00383035">
        <w:rPr>
          <w:rFonts w:ascii="Tahoma" w:hAnsi="Tahoma" w:cs="Tahoma"/>
          <w:sz w:val="20"/>
          <w:szCs w:val="20"/>
        </w:rPr>
        <w:lastRenderedPageBreak/>
        <w:t>Por otro lado, la información inexacta se configura con la presentación de declaraciones no concordantes con la realidad, a través del quebrantamiento de los principios de presunción de veracidad y de moralidad que ampara a las referidas declaraciones.</w:t>
      </w:r>
    </w:p>
    <w:p w:rsidR="00383035" w:rsidRPr="00383035" w:rsidRDefault="00383035" w:rsidP="00383035">
      <w:pPr>
        <w:pStyle w:val="Prrafodelista"/>
        <w:ind w:left="567"/>
        <w:jc w:val="both"/>
        <w:rPr>
          <w:rFonts w:ascii="Tahoma" w:hAnsi="Tahoma" w:cs="Tahoma"/>
          <w:sz w:val="20"/>
          <w:szCs w:val="20"/>
        </w:rPr>
      </w:pPr>
    </w:p>
    <w:p w:rsidR="00383035" w:rsidRPr="00383035" w:rsidRDefault="00383035" w:rsidP="00383035">
      <w:pPr>
        <w:pStyle w:val="Prrafodelista"/>
        <w:numPr>
          <w:ilvl w:val="0"/>
          <w:numId w:val="7"/>
        </w:numPr>
        <w:ind w:left="567" w:hanging="567"/>
        <w:contextualSpacing/>
        <w:jc w:val="both"/>
        <w:rPr>
          <w:rFonts w:ascii="Tahoma" w:hAnsi="Tahoma" w:cs="Tahoma"/>
          <w:sz w:val="20"/>
          <w:szCs w:val="20"/>
        </w:rPr>
      </w:pPr>
      <w:r w:rsidRPr="00383035">
        <w:rPr>
          <w:rFonts w:ascii="Tahoma" w:hAnsi="Tahoma" w:cs="Tahoma"/>
          <w:sz w:val="20"/>
          <w:szCs w:val="20"/>
        </w:rPr>
        <w:t>En el caso materia de análisis, la imputación efectuada contra el Postor está referida a que éste había presentado, como parte de su propuesta técnica, la Declaración Jurada de Bienes Elaborados en Territorio Nacional de fecha 24 de julio de 2008, documento supuestamente inexacto.</w:t>
      </w:r>
    </w:p>
    <w:p w:rsidR="00383035" w:rsidRPr="00383035" w:rsidRDefault="00383035" w:rsidP="00383035">
      <w:pPr>
        <w:pStyle w:val="Prrafodelista"/>
        <w:ind w:left="567"/>
        <w:jc w:val="both"/>
        <w:rPr>
          <w:rFonts w:ascii="Tahoma" w:hAnsi="Tahoma" w:cs="Tahoma"/>
          <w:sz w:val="20"/>
          <w:szCs w:val="20"/>
        </w:rPr>
      </w:pPr>
    </w:p>
    <w:p w:rsidR="00383035" w:rsidRPr="00383035" w:rsidRDefault="00383035" w:rsidP="00383035">
      <w:pPr>
        <w:pStyle w:val="Prrafodelista"/>
        <w:numPr>
          <w:ilvl w:val="0"/>
          <w:numId w:val="7"/>
        </w:numPr>
        <w:ind w:left="567" w:hanging="567"/>
        <w:contextualSpacing/>
        <w:jc w:val="both"/>
        <w:rPr>
          <w:rFonts w:ascii="Tahoma" w:hAnsi="Tahoma" w:cs="Tahoma"/>
          <w:sz w:val="20"/>
          <w:szCs w:val="20"/>
        </w:rPr>
      </w:pPr>
      <w:r w:rsidRPr="00383035">
        <w:rPr>
          <w:rFonts w:ascii="Tahoma" w:hAnsi="Tahoma" w:cs="Tahoma"/>
          <w:sz w:val="20"/>
          <w:szCs w:val="20"/>
        </w:rPr>
        <w:t xml:space="preserve">Sobre la base de lo expuesto, en virtud al derecho de defensa que ampara a los administrados, el Postor presentó sus descargos manifestando que la propuesta debe ser evaluada en conjunto y de modo integral, y que si bien la Declaración Jurada de folio № 17 dice textualmente que su representada </w:t>
      </w:r>
      <w:r w:rsidRPr="00383035">
        <w:rPr>
          <w:rFonts w:ascii="Tahoma" w:hAnsi="Tahoma" w:cs="Tahoma"/>
          <w:i/>
          <w:sz w:val="20"/>
          <w:szCs w:val="20"/>
        </w:rPr>
        <w:t>“elabora los bienes objeto de la convocatoria dentro del territorio nacional”,</w:t>
      </w:r>
      <w:r w:rsidRPr="00383035">
        <w:rPr>
          <w:rFonts w:ascii="Tahoma" w:hAnsi="Tahoma" w:cs="Tahoma"/>
          <w:sz w:val="20"/>
          <w:szCs w:val="20"/>
        </w:rPr>
        <w:t xml:space="preserve"> también lo era, que ofertó entregar los bienes en 60 días (de acuerdo a la Carta de Compromiso de Plazo de Entrega), pues era el tiempo máximo que necesitaba para fabricar los correntómetros ofertados. Asimismo, el Postor indicó que la fabricación de los correntómetros se hubieran realizado en el Perú, tal y como se demuestra con la presentación de la copia del Registro de la Propiedad Industrial de la marca EDU, otorgado por INDECOPI, para distinguir al correntómetro “Molinete Universal”, documento obrante a folio № 18 de nuestra propuesta técnica. (sic)</w:t>
      </w:r>
    </w:p>
    <w:p w:rsidR="00383035" w:rsidRPr="00383035" w:rsidRDefault="00383035" w:rsidP="00383035">
      <w:pPr>
        <w:pStyle w:val="Prrafodelista"/>
        <w:rPr>
          <w:rFonts w:ascii="Tahoma" w:hAnsi="Tahoma" w:cs="Tahoma"/>
          <w:sz w:val="20"/>
          <w:szCs w:val="20"/>
        </w:rPr>
      </w:pPr>
    </w:p>
    <w:p w:rsidR="00383035" w:rsidRPr="00383035" w:rsidRDefault="00383035" w:rsidP="00383035">
      <w:pPr>
        <w:pStyle w:val="Prrafodelista"/>
        <w:ind w:left="567"/>
        <w:jc w:val="both"/>
        <w:rPr>
          <w:rFonts w:ascii="Tahoma" w:hAnsi="Tahoma" w:cs="Tahoma"/>
          <w:sz w:val="20"/>
          <w:szCs w:val="20"/>
        </w:rPr>
      </w:pPr>
      <w:r w:rsidRPr="00383035">
        <w:rPr>
          <w:rFonts w:ascii="Tahoma" w:hAnsi="Tahoma" w:cs="Tahoma"/>
          <w:sz w:val="20"/>
          <w:szCs w:val="20"/>
        </w:rPr>
        <w:t>Por otro lado, el Postor manifestó que con relación al Informe Pericial emitido por la Cámara de Comercio de Lima, en el cual se concluyó que no se podía opinar sobre el origen de un bien que no existía, ello no constituía prueba alguna de que el postor hubiese presentado información inexacta, ya que los correntómetros se iban a fabricar dentro del plazo ofertado de 60 días, destacando que éstos, tienen un tiempo determinado de fabricación, por lo tanto solicitó se le eximiera de sanción administrativa.</w:t>
      </w:r>
    </w:p>
    <w:p w:rsidR="00383035" w:rsidRPr="00383035" w:rsidRDefault="00383035" w:rsidP="00383035">
      <w:pPr>
        <w:pStyle w:val="Prrafodelista"/>
        <w:ind w:left="567"/>
        <w:jc w:val="both"/>
        <w:rPr>
          <w:rFonts w:ascii="Tahoma" w:hAnsi="Tahoma" w:cs="Tahoma"/>
          <w:sz w:val="20"/>
          <w:szCs w:val="20"/>
        </w:rPr>
      </w:pPr>
    </w:p>
    <w:p w:rsidR="00383035" w:rsidRPr="00383035" w:rsidRDefault="00383035" w:rsidP="00383035">
      <w:pPr>
        <w:pStyle w:val="Prrafodelista"/>
        <w:numPr>
          <w:ilvl w:val="0"/>
          <w:numId w:val="7"/>
        </w:numPr>
        <w:ind w:left="567" w:hanging="567"/>
        <w:contextualSpacing/>
        <w:jc w:val="both"/>
        <w:rPr>
          <w:rFonts w:ascii="Tahoma" w:hAnsi="Tahoma" w:cs="Tahoma"/>
          <w:sz w:val="20"/>
          <w:szCs w:val="20"/>
        </w:rPr>
      </w:pPr>
      <w:r w:rsidRPr="00383035">
        <w:rPr>
          <w:rFonts w:ascii="Tahoma" w:hAnsi="Tahoma" w:cs="Tahoma"/>
          <w:sz w:val="20"/>
          <w:szCs w:val="20"/>
        </w:rPr>
        <w:t>Conforme a lo expuesto, corresponde al Tribunal pronunciarse respecto de la inexactitud del documento cuestionado, a fin de verificar si resulta procedente imponer al Postor la sanción administrativa que el Reglamento ha previsto para estos casos.</w:t>
      </w:r>
    </w:p>
    <w:p w:rsidR="00383035" w:rsidRPr="00383035" w:rsidRDefault="00383035" w:rsidP="00383035">
      <w:pPr>
        <w:ind w:left="567"/>
        <w:jc w:val="both"/>
        <w:rPr>
          <w:rFonts w:ascii="Tahoma" w:hAnsi="Tahoma" w:cs="Tahoma"/>
          <w:sz w:val="20"/>
          <w:szCs w:val="20"/>
        </w:rPr>
      </w:pPr>
    </w:p>
    <w:p w:rsidR="00383035" w:rsidRPr="00383035" w:rsidRDefault="00383035" w:rsidP="00383035">
      <w:pPr>
        <w:numPr>
          <w:ilvl w:val="0"/>
          <w:numId w:val="7"/>
        </w:numPr>
        <w:ind w:left="567" w:hanging="567"/>
        <w:jc w:val="both"/>
        <w:rPr>
          <w:rFonts w:ascii="Tahoma" w:hAnsi="Tahoma" w:cs="Tahoma"/>
          <w:sz w:val="20"/>
          <w:szCs w:val="20"/>
        </w:rPr>
      </w:pPr>
      <w:r w:rsidRPr="00383035">
        <w:rPr>
          <w:rFonts w:ascii="Tahoma" w:hAnsi="Tahoma" w:cs="Tahoma"/>
          <w:sz w:val="20"/>
          <w:szCs w:val="20"/>
        </w:rPr>
        <w:t xml:space="preserve">En principio, cabe indicar que </w:t>
      </w:r>
      <w:r w:rsidRPr="00383035">
        <w:rPr>
          <w:rFonts w:ascii="Tahoma" w:hAnsi="Tahoma" w:cs="Tahoma"/>
          <w:sz w:val="20"/>
          <w:szCs w:val="20"/>
          <w:lang w:val="es-PE"/>
        </w:rPr>
        <w:t>la Ley № 27633, que modificó la Ley № 27143, Ley de Promoción Temporal del Desarrollo Productivo Nacional (modificada anteriormente por los Decretos de Urgencia № 064-2000 y № 083-2001), disponía que, para la aplicación del artículo 31 de la Ley, en la evaluación y calificación de propuestas y subsiguiente otorgamiento de la Buena Pro en los procesos de selección, se agregará un 20% adicional a la sumatoria de la calificación técnica y económica de las propuestas de bienes y servicios elaborados o prestados dentro del territorio nacional, conforme al Reglamento de la materia.</w:t>
      </w:r>
    </w:p>
    <w:p w:rsidR="00383035" w:rsidRPr="00383035" w:rsidRDefault="00383035" w:rsidP="00383035">
      <w:pPr>
        <w:ind w:left="567"/>
        <w:jc w:val="both"/>
        <w:rPr>
          <w:rFonts w:ascii="Tahoma" w:hAnsi="Tahoma" w:cs="Tahoma"/>
          <w:sz w:val="20"/>
          <w:szCs w:val="20"/>
        </w:rPr>
      </w:pPr>
    </w:p>
    <w:p w:rsidR="00383035" w:rsidRPr="00383035" w:rsidRDefault="00383035" w:rsidP="00383035">
      <w:pPr>
        <w:numPr>
          <w:ilvl w:val="0"/>
          <w:numId w:val="7"/>
        </w:numPr>
        <w:ind w:left="567" w:hanging="567"/>
        <w:jc w:val="both"/>
        <w:rPr>
          <w:rFonts w:ascii="Tahoma" w:hAnsi="Tahoma" w:cs="Tahoma"/>
          <w:sz w:val="20"/>
          <w:szCs w:val="20"/>
        </w:rPr>
      </w:pPr>
      <w:r w:rsidRPr="00383035">
        <w:rPr>
          <w:rFonts w:ascii="Tahoma" w:hAnsi="Tahoma" w:cs="Tahoma"/>
          <w:sz w:val="20"/>
          <w:szCs w:val="20"/>
          <w:lang w:val="es-PE"/>
        </w:rPr>
        <w:t xml:space="preserve">Por su parte, el Decreto Supremo № 003-2001-PCM, que reglamentó la precitada Ley de Promoción Temporal del Desarrollo Productivo Nacional, dispuso en su artículo 3 que la declaración jurada a que se refiere el artículo 33 del Reglamento de la Ley № 26850 (sustituido por el artículo 76 del Reglamento), el postor podrá manifestar que los bienes y servicios ofrecidos han sido elaborados o prestados dentro del territorio nacional, de </w:t>
      </w:r>
      <w:r w:rsidRPr="00383035">
        <w:rPr>
          <w:rFonts w:ascii="Tahoma" w:hAnsi="Tahoma" w:cs="Tahoma"/>
          <w:sz w:val="20"/>
          <w:szCs w:val="20"/>
          <w:lang w:val="es-PE"/>
        </w:rPr>
        <w:lastRenderedPageBreak/>
        <w:t>conformidad con las disposiciones establecidas en el Reglamento, a fin de acceder a la señalada bonificación.</w:t>
      </w:r>
    </w:p>
    <w:p w:rsidR="00383035" w:rsidRPr="00383035" w:rsidRDefault="00383035" w:rsidP="00383035">
      <w:pPr>
        <w:pStyle w:val="Prrafodelista"/>
        <w:rPr>
          <w:rFonts w:ascii="Tahoma" w:hAnsi="Tahoma" w:cs="Tahoma"/>
          <w:sz w:val="20"/>
          <w:szCs w:val="20"/>
        </w:rPr>
      </w:pPr>
    </w:p>
    <w:p w:rsidR="00383035" w:rsidRPr="00383035" w:rsidRDefault="00383035" w:rsidP="00383035">
      <w:pPr>
        <w:numPr>
          <w:ilvl w:val="0"/>
          <w:numId w:val="7"/>
        </w:numPr>
        <w:ind w:left="567" w:hanging="567"/>
        <w:jc w:val="both"/>
        <w:rPr>
          <w:rFonts w:ascii="Tahoma" w:hAnsi="Tahoma" w:cs="Tahoma"/>
          <w:sz w:val="20"/>
          <w:szCs w:val="20"/>
        </w:rPr>
      </w:pPr>
      <w:r w:rsidRPr="00383035">
        <w:rPr>
          <w:rFonts w:ascii="Tahoma" w:hAnsi="Tahoma" w:cs="Tahoma"/>
          <w:sz w:val="20"/>
          <w:szCs w:val="20"/>
          <w:lang w:val="es-ES_tradnl"/>
        </w:rPr>
        <w:t>De otro lado,</w:t>
      </w:r>
      <w:r w:rsidRPr="00383035">
        <w:rPr>
          <w:rFonts w:ascii="Tahoma" w:hAnsi="Tahoma" w:cs="Tahoma"/>
          <w:sz w:val="20"/>
          <w:szCs w:val="20"/>
        </w:rPr>
        <w:t xml:space="preserve"> es preciso indicar que el literal c) del artículo 1 del Decreto Supremo № 003-2001-PCM establece que se considerarán bienes producidos nacionales “Los bienes producidos en el Perú utilizando materiales originarios de otros países, siempre que resulten de un </w:t>
      </w:r>
      <w:r w:rsidRPr="00383035">
        <w:rPr>
          <w:rFonts w:ascii="Tahoma" w:hAnsi="Tahoma" w:cs="Tahoma"/>
          <w:sz w:val="20"/>
          <w:szCs w:val="20"/>
          <w:u w:val="single"/>
        </w:rPr>
        <w:t>proceso de transformación realizado que le confiera una nueva individualidad caracterizada</w:t>
      </w:r>
      <w:r w:rsidRPr="00383035">
        <w:rPr>
          <w:rFonts w:ascii="Tahoma" w:hAnsi="Tahoma" w:cs="Tahoma"/>
          <w:sz w:val="20"/>
          <w:szCs w:val="20"/>
        </w:rPr>
        <w:t xml:space="preserve"> por el hecho de quedar </w:t>
      </w:r>
      <w:r w:rsidRPr="00383035">
        <w:rPr>
          <w:rFonts w:ascii="Tahoma" w:hAnsi="Tahoma" w:cs="Tahoma"/>
          <w:sz w:val="20"/>
          <w:szCs w:val="20"/>
          <w:u w:val="single"/>
        </w:rPr>
        <w:t>clasificados en la NALADI o su equivalente en NANDINA en posición diferente a la de dichos materiales</w:t>
      </w:r>
      <w:r w:rsidRPr="00383035">
        <w:rPr>
          <w:rFonts w:ascii="Tahoma" w:hAnsi="Tahoma" w:cs="Tahoma"/>
          <w:sz w:val="20"/>
          <w:szCs w:val="20"/>
        </w:rPr>
        <w:t>.</w:t>
      </w:r>
    </w:p>
    <w:p w:rsidR="00383035" w:rsidRPr="00383035" w:rsidRDefault="00383035" w:rsidP="00383035">
      <w:pPr>
        <w:pStyle w:val="Prrafodelista"/>
        <w:rPr>
          <w:rFonts w:ascii="Tahoma" w:hAnsi="Tahoma" w:cs="Tahoma"/>
          <w:sz w:val="20"/>
          <w:szCs w:val="20"/>
        </w:rPr>
      </w:pPr>
    </w:p>
    <w:p w:rsidR="00383035" w:rsidRPr="00383035" w:rsidRDefault="00383035" w:rsidP="00383035">
      <w:pPr>
        <w:numPr>
          <w:ilvl w:val="0"/>
          <w:numId w:val="7"/>
        </w:numPr>
        <w:ind w:left="567" w:hanging="567"/>
        <w:jc w:val="both"/>
        <w:rPr>
          <w:rFonts w:ascii="Tahoma" w:hAnsi="Tahoma" w:cs="Tahoma"/>
          <w:sz w:val="20"/>
          <w:szCs w:val="20"/>
        </w:rPr>
      </w:pPr>
      <w:r w:rsidRPr="00383035">
        <w:rPr>
          <w:rFonts w:ascii="Tahoma" w:hAnsi="Tahoma" w:cs="Tahoma"/>
          <w:sz w:val="20"/>
          <w:szCs w:val="20"/>
        </w:rPr>
        <w:t xml:space="preserve">En razón a la norma precitada, </w:t>
      </w:r>
      <w:r w:rsidRPr="00383035">
        <w:rPr>
          <w:rFonts w:ascii="Tahoma" w:hAnsi="Tahoma" w:cs="Tahoma"/>
          <w:sz w:val="20"/>
          <w:szCs w:val="20"/>
          <w:u w:val="single"/>
        </w:rPr>
        <w:t>queda claro que serán considerados como bienes elaborados en el territorio nacional aquellos bienes producidos íntegramente en el territorio nacional con productos nacionales, o aquellos bienes que adquieran una forma final para ser comercializados como producto de una transformación sustancial</w:t>
      </w:r>
      <w:r w:rsidRPr="00383035">
        <w:rPr>
          <w:rFonts w:ascii="Tahoma" w:hAnsi="Tahoma" w:cs="Tahoma"/>
          <w:b/>
          <w:sz w:val="20"/>
          <w:szCs w:val="20"/>
          <w:u w:val="single"/>
        </w:rPr>
        <w:t xml:space="preserve"> </w:t>
      </w:r>
      <w:r w:rsidRPr="00383035">
        <w:rPr>
          <w:rFonts w:ascii="Tahoma" w:hAnsi="Tahoma" w:cs="Tahoma"/>
          <w:sz w:val="20"/>
          <w:szCs w:val="20"/>
          <w:u w:val="single"/>
        </w:rPr>
        <w:t>de los materiales originarios de otros países, otorgándole una individualidad diferente</w:t>
      </w:r>
      <w:r w:rsidRPr="00383035">
        <w:rPr>
          <w:rFonts w:ascii="Tahoma" w:hAnsi="Tahoma" w:cs="Tahoma"/>
          <w:sz w:val="20"/>
          <w:szCs w:val="20"/>
        </w:rPr>
        <w:t xml:space="preserve"> (el subrayado es nuestro).</w:t>
      </w:r>
    </w:p>
    <w:p w:rsidR="00383035" w:rsidRPr="00383035" w:rsidRDefault="00383035" w:rsidP="00383035">
      <w:pPr>
        <w:pStyle w:val="Prrafodelista"/>
        <w:rPr>
          <w:rFonts w:ascii="Tahoma" w:hAnsi="Tahoma" w:cs="Tahoma"/>
          <w:sz w:val="20"/>
          <w:szCs w:val="20"/>
        </w:rPr>
      </w:pPr>
    </w:p>
    <w:p w:rsidR="00383035" w:rsidRPr="00383035" w:rsidRDefault="00383035" w:rsidP="00383035">
      <w:pPr>
        <w:numPr>
          <w:ilvl w:val="0"/>
          <w:numId w:val="7"/>
        </w:numPr>
        <w:ind w:left="567" w:hanging="567"/>
        <w:jc w:val="both"/>
        <w:rPr>
          <w:rFonts w:ascii="Tahoma" w:hAnsi="Tahoma" w:cs="Tahoma"/>
          <w:sz w:val="20"/>
          <w:szCs w:val="20"/>
        </w:rPr>
      </w:pPr>
      <w:r w:rsidRPr="00383035">
        <w:rPr>
          <w:rFonts w:ascii="Tahoma" w:hAnsi="Tahoma" w:cs="Tahoma"/>
          <w:sz w:val="20"/>
          <w:szCs w:val="20"/>
        </w:rPr>
        <w:t xml:space="preserve">Por el contrario, no serán considerados elaborados en el Perú, los bienes producidos por procesos u operaciones por los cuales adquieran la forma final en que serán comercializados, cuando en dichos procesos se utilicen materiales de otros países y consistan solamente en simples montajes o ensambles, embalaje, fraccionamiento en lotes, piezas o volúmenes, selección y clasificación, marcación y composición de surtidos de mercancías y otras operaciones que no impliquen un proceso de transformación sustancial en los términos del párrafo primero del literal c) del artículo 1) del Decreto Supremo </w:t>
      </w:r>
      <w:r w:rsidRPr="00383035">
        <w:rPr>
          <w:rFonts w:ascii="Tahoma" w:hAnsi="Tahoma" w:cs="Tahoma"/>
          <w:sz w:val="20"/>
          <w:szCs w:val="20"/>
          <w:lang w:val="es-PE"/>
        </w:rPr>
        <w:t>№ 003-2001-PCM</w:t>
      </w:r>
      <w:r w:rsidRPr="00383035">
        <w:rPr>
          <w:rFonts w:ascii="Tahoma" w:hAnsi="Tahoma" w:cs="Tahoma"/>
          <w:sz w:val="20"/>
          <w:szCs w:val="20"/>
        </w:rPr>
        <w:t>.</w:t>
      </w:r>
    </w:p>
    <w:p w:rsidR="00383035" w:rsidRPr="00383035" w:rsidRDefault="00383035" w:rsidP="00383035">
      <w:pPr>
        <w:pStyle w:val="Prrafodelista"/>
        <w:rPr>
          <w:rFonts w:ascii="Tahoma" w:hAnsi="Tahoma" w:cs="Tahoma"/>
          <w:sz w:val="20"/>
          <w:szCs w:val="20"/>
        </w:rPr>
      </w:pPr>
    </w:p>
    <w:p w:rsidR="00383035" w:rsidRPr="00383035" w:rsidRDefault="00383035" w:rsidP="00383035">
      <w:pPr>
        <w:numPr>
          <w:ilvl w:val="0"/>
          <w:numId w:val="7"/>
        </w:numPr>
        <w:ind w:left="567" w:hanging="567"/>
        <w:jc w:val="both"/>
        <w:rPr>
          <w:rFonts w:ascii="Tahoma" w:hAnsi="Tahoma" w:cs="Tahoma"/>
          <w:sz w:val="20"/>
          <w:szCs w:val="20"/>
        </w:rPr>
      </w:pPr>
      <w:r w:rsidRPr="00383035">
        <w:rPr>
          <w:rFonts w:ascii="Tahoma" w:hAnsi="Tahoma" w:cs="Tahoma"/>
          <w:sz w:val="20"/>
          <w:szCs w:val="20"/>
        </w:rPr>
        <w:t>Al respecto, del examen de la documentación obrante en autos, se evidencia que el Postor adjuntó a su Propuesta Técnica la Declaración Jurada en la cual señaló que elabora los bienes objeto de la convocatoria dentro del territorio nacional, en los términos de la Ley № 27633, Ley de Promoción Temporal del Desarrollo Productivo Nacional, el Decreto Supremo № 003-2001-PCM y demás normas complementarias, conforme al siguiente detalle:</w:t>
      </w:r>
    </w:p>
    <w:p w:rsidR="00383035" w:rsidRPr="00383035" w:rsidRDefault="00383035" w:rsidP="00383035">
      <w:pPr>
        <w:jc w:val="both"/>
        <w:rPr>
          <w:rFonts w:ascii="Tahoma" w:hAnsi="Tahoma" w:cs="Tahoma"/>
          <w:sz w:val="20"/>
          <w:szCs w:val="20"/>
        </w:rPr>
      </w:pPr>
    </w:p>
    <w:tbl>
      <w:tblPr>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827"/>
      </w:tblGrid>
      <w:tr w:rsidR="00383035" w:rsidRPr="00383035" w:rsidTr="005B5E7B">
        <w:trPr>
          <w:trHeight w:val="3159"/>
        </w:trPr>
        <w:tc>
          <w:tcPr>
            <w:tcW w:w="7827" w:type="dxa"/>
            <w:tcBorders>
              <w:top w:val="double" w:sz="4" w:space="0" w:color="auto"/>
              <w:left w:val="double" w:sz="4" w:space="0" w:color="auto"/>
              <w:bottom w:val="double" w:sz="4" w:space="0" w:color="auto"/>
              <w:right w:val="double" w:sz="4" w:space="0" w:color="auto"/>
            </w:tcBorders>
          </w:tcPr>
          <w:p w:rsidR="00383035" w:rsidRPr="00B55A4A" w:rsidRDefault="00383035" w:rsidP="005B5E7B">
            <w:pPr>
              <w:pStyle w:val="Prrafodelista"/>
              <w:ind w:left="0"/>
              <w:jc w:val="center"/>
              <w:rPr>
                <w:rFonts w:ascii="Tahoma" w:hAnsi="Tahoma" w:cs="Tahoma"/>
                <w:sz w:val="16"/>
                <w:szCs w:val="16"/>
              </w:rPr>
            </w:pPr>
          </w:p>
          <w:p w:rsidR="00383035" w:rsidRPr="00B55A4A" w:rsidRDefault="00383035" w:rsidP="005B5E7B">
            <w:pPr>
              <w:pStyle w:val="Prrafodelista"/>
              <w:ind w:left="0"/>
              <w:jc w:val="center"/>
              <w:rPr>
                <w:rFonts w:ascii="Tahoma" w:hAnsi="Tahoma" w:cs="Tahoma"/>
                <w:b/>
                <w:sz w:val="16"/>
                <w:szCs w:val="16"/>
              </w:rPr>
            </w:pPr>
            <w:r w:rsidRPr="00B55A4A">
              <w:rPr>
                <w:rFonts w:ascii="Tahoma" w:hAnsi="Tahoma" w:cs="Tahoma"/>
                <w:b/>
                <w:sz w:val="16"/>
                <w:szCs w:val="16"/>
              </w:rPr>
              <w:t>DECLARACIÓN JURADA DE BIENES ELABORADOS EN TERRITORIO NACIONAL</w:t>
            </w:r>
          </w:p>
          <w:p w:rsidR="00383035" w:rsidRPr="00B55A4A" w:rsidRDefault="00383035" w:rsidP="005B5E7B">
            <w:pPr>
              <w:pStyle w:val="Prrafodelista"/>
              <w:ind w:left="0"/>
              <w:jc w:val="center"/>
              <w:rPr>
                <w:rFonts w:ascii="Tahoma" w:hAnsi="Tahoma" w:cs="Tahoma"/>
                <w:b/>
                <w:sz w:val="16"/>
                <w:szCs w:val="16"/>
              </w:rPr>
            </w:pPr>
          </w:p>
          <w:p w:rsidR="00383035" w:rsidRPr="00B55A4A" w:rsidRDefault="00383035" w:rsidP="005B5E7B">
            <w:pPr>
              <w:pStyle w:val="Prrafodelista"/>
              <w:ind w:left="176" w:right="267"/>
              <w:rPr>
                <w:rFonts w:ascii="Tahoma" w:hAnsi="Tahoma" w:cs="Tahoma"/>
                <w:i/>
                <w:sz w:val="16"/>
                <w:szCs w:val="16"/>
              </w:rPr>
            </w:pPr>
            <w:r w:rsidRPr="00B55A4A">
              <w:rPr>
                <w:rFonts w:ascii="Tahoma" w:hAnsi="Tahoma" w:cs="Tahoma"/>
                <w:i/>
                <w:sz w:val="16"/>
                <w:szCs w:val="16"/>
              </w:rPr>
              <w:t>(…)</w:t>
            </w:r>
          </w:p>
          <w:p w:rsidR="00383035" w:rsidRPr="00B55A4A" w:rsidRDefault="00383035" w:rsidP="005B5E7B">
            <w:pPr>
              <w:pStyle w:val="Prrafodelista"/>
              <w:ind w:left="176" w:right="267"/>
              <w:rPr>
                <w:rFonts w:ascii="Tahoma" w:hAnsi="Tahoma" w:cs="Tahoma"/>
                <w:i/>
                <w:sz w:val="16"/>
                <w:szCs w:val="16"/>
              </w:rPr>
            </w:pPr>
          </w:p>
          <w:p w:rsidR="00383035" w:rsidRPr="00B55A4A" w:rsidRDefault="00383035" w:rsidP="005B5E7B">
            <w:pPr>
              <w:pStyle w:val="Prrafodelista"/>
              <w:ind w:left="176" w:right="267"/>
              <w:jc w:val="both"/>
              <w:rPr>
                <w:rFonts w:ascii="Tahoma" w:hAnsi="Tahoma" w:cs="Tahoma"/>
                <w:i/>
                <w:sz w:val="16"/>
                <w:szCs w:val="16"/>
              </w:rPr>
            </w:pPr>
            <w:r w:rsidRPr="00B55A4A">
              <w:rPr>
                <w:rFonts w:ascii="Tahoma" w:hAnsi="Tahoma" w:cs="Tahoma"/>
                <w:i/>
                <w:sz w:val="16"/>
                <w:szCs w:val="16"/>
              </w:rPr>
              <w:t xml:space="preserve">Mediante el presente declaramos ante el </w:t>
            </w:r>
            <w:r w:rsidRPr="00B55A4A">
              <w:rPr>
                <w:rFonts w:ascii="Tahoma" w:hAnsi="Tahoma" w:cs="Tahoma"/>
                <w:b/>
                <w:i/>
                <w:sz w:val="16"/>
                <w:szCs w:val="16"/>
              </w:rPr>
              <w:t xml:space="preserve">SERVICIO NACIONAL DE METEOROLOGÍA E HIDROLOGÍA (SENAMHI) </w:t>
            </w:r>
            <w:r w:rsidRPr="00B55A4A">
              <w:rPr>
                <w:rFonts w:ascii="Tahoma" w:hAnsi="Tahoma" w:cs="Tahoma"/>
                <w:i/>
                <w:sz w:val="16"/>
                <w:szCs w:val="16"/>
              </w:rPr>
              <w:t>que nuestra representada elabora los bienes objeto de la convocatoria dentro del territorio nacional, en los términos de la Ley № 27633, Ley de Promoción Temporal del Desarrollo Productivo Nacional, el Decreto Supremo № 003-2001-PCM y demás normas complementarias (sic).</w:t>
            </w:r>
          </w:p>
          <w:p w:rsidR="00383035" w:rsidRPr="00B55A4A" w:rsidRDefault="00383035" w:rsidP="005B5E7B">
            <w:pPr>
              <w:pStyle w:val="Prrafodelista"/>
              <w:ind w:left="176" w:right="267"/>
              <w:jc w:val="both"/>
              <w:rPr>
                <w:rFonts w:ascii="Tahoma" w:hAnsi="Tahoma" w:cs="Tahoma"/>
                <w:i/>
                <w:sz w:val="16"/>
                <w:szCs w:val="16"/>
              </w:rPr>
            </w:pPr>
          </w:p>
          <w:p w:rsidR="00383035" w:rsidRPr="00B55A4A" w:rsidRDefault="00383035" w:rsidP="005B5E7B">
            <w:pPr>
              <w:pStyle w:val="Prrafodelista"/>
              <w:ind w:left="176" w:right="267"/>
              <w:jc w:val="both"/>
              <w:rPr>
                <w:rFonts w:ascii="Tahoma" w:hAnsi="Tahoma" w:cs="Tahoma"/>
                <w:i/>
                <w:sz w:val="16"/>
                <w:szCs w:val="16"/>
              </w:rPr>
            </w:pPr>
            <w:r w:rsidRPr="00B55A4A">
              <w:rPr>
                <w:rFonts w:ascii="Tahoma" w:hAnsi="Tahoma" w:cs="Tahoma"/>
                <w:i/>
                <w:sz w:val="16"/>
                <w:szCs w:val="16"/>
              </w:rPr>
              <w:t>Lima, 24 de julio de 2008.</w:t>
            </w:r>
          </w:p>
          <w:p w:rsidR="00383035" w:rsidRPr="00B55A4A" w:rsidRDefault="00383035" w:rsidP="005B5E7B">
            <w:pPr>
              <w:pStyle w:val="Prrafodelista"/>
              <w:ind w:left="176" w:right="267"/>
              <w:jc w:val="both"/>
              <w:rPr>
                <w:rFonts w:ascii="Tahoma" w:hAnsi="Tahoma" w:cs="Tahoma"/>
                <w:i/>
                <w:sz w:val="16"/>
                <w:szCs w:val="16"/>
              </w:rPr>
            </w:pPr>
          </w:p>
          <w:p w:rsidR="00383035" w:rsidRPr="00B55A4A" w:rsidRDefault="00383035" w:rsidP="005B5E7B">
            <w:pPr>
              <w:pStyle w:val="Prrafodelista"/>
              <w:ind w:left="176" w:right="267"/>
              <w:jc w:val="both"/>
              <w:rPr>
                <w:rFonts w:ascii="Tahoma" w:hAnsi="Tahoma" w:cs="Tahoma"/>
                <w:i/>
                <w:sz w:val="16"/>
                <w:szCs w:val="16"/>
              </w:rPr>
            </w:pPr>
            <w:r w:rsidRPr="00B55A4A">
              <w:rPr>
                <w:rFonts w:ascii="Tahoma" w:hAnsi="Tahoma" w:cs="Tahoma"/>
                <w:i/>
                <w:sz w:val="16"/>
                <w:szCs w:val="16"/>
              </w:rPr>
              <w:t>(…)</w:t>
            </w:r>
          </w:p>
          <w:p w:rsidR="00383035" w:rsidRPr="00383035" w:rsidRDefault="00383035" w:rsidP="005B5E7B">
            <w:pPr>
              <w:pStyle w:val="Prrafodelista"/>
              <w:ind w:left="176" w:right="267"/>
              <w:jc w:val="both"/>
              <w:rPr>
                <w:rFonts w:ascii="Tahoma" w:hAnsi="Tahoma" w:cs="Tahoma"/>
                <w:i/>
                <w:sz w:val="20"/>
                <w:szCs w:val="20"/>
              </w:rPr>
            </w:pPr>
          </w:p>
        </w:tc>
      </w:tr>
    </w:tbl>
    <w:p w:rsidR="00383035" w:rsidRPr="00383035" w:rsidRDefault="00383035" w:rsidP="00383035">
      <w:pPr>
        <w:jc w:val="both"/>
        <w:rPr>
          <w:rFonts w:ascii="Tahoma" w:hAnsi="Tahoma" w:cs="Tahoma"/>
          <w:sz w:val="20"/>
          <w:szCs w:val="20"/>
        </w:rPr>
      </w:pPr>
    </w:p>
    <w:p w:rsidR="00383035" w:rsidRPr="00383035" w:rsidRDefault="00383035" w:rsidP="00383035">
      <w:pPr>
        <w:numPr>
          <w:ilvl w:val="0"/>
          <w:numId w:val="7"/>
        </w:numPr>
        <w:ind w:left="567" w:hanging="567"/>
        <w:jc w:val="both"/>
        <w:rPr>
          <w:rFonts w:ascii="Tahoma" w:hAnsi="Tahoma" w:cs="Tahoma"/>
          <w:sz w:val="20"/>
          <w:szCs w:val="20"/>
        </w:rPr>
      </w:pPr>
      <w:r w:rsidRPr="00383035">
        <w:rPr>
          <w:rFonts w:ascii="Tahoma" w:hAnsi="Tahoma" w:cs="Tahoma"/>
          <w:sz w:val="20"/>
          <w:szCs w:val="20"/>
        </w:rPr>
        <w:lastRenderedPageBreak/>
        <w:t xml:space="preserve">Ahora bien, cabe precisar que, el artículo 4 del Decreto Supremo № 003-2001-PCM dispone que para resolver las impugnaciones referidas a la condición de bien elaborado dentro del territorio nacional, el Tribunal podrá requerir que, a </w:t>
      </w:r>
      <w:r w:rsidRPr="00383035">
        <w:rPr>
          <w:rFonts w:ascii="Tahoma" w:hAnsi="Tahoma" w:cs="Tahoma"/>
          <w:sz w:val="20"/>
          <w:szCs w:val="20"/>
          <w:u w:val="single"/>
        </w:rPr>
        <w:t>costa del postor impugnante, un laboratorio, empresa certificadora, inspector o perito acreditado para tal efecto por el Instituto Nacional de Defensa de la Competencia y de la Propiedad Intelectual (INDECOPI), según corresponda, emita una opinión técnica</w:t>
      </w:r>
      <w:r w:rsidRPr="00383035">
        <w:rPr>
          <w:rFonts w:ascii="Tahoma" w:hAnsi="Tahoma" w:cs="Tahoma"/>
          <w:sz w:val="20"/>
          <w:szCs w:val="20"/>
        </w:rPr>
        <w:t>.</w:t>
      </w:r>
    </w:p>
    <w:p w:rsidR="00383035" w:rsidRPr="00383035" w:rsidRDefault="00383035" w:rsidP="00383035">
      <w:pPr>
        <w:ind w:left="567"/>
        <w:jc w:val="both"/>
        <w:rPr>
          <w:rFonts w:ascii="Tahoma" w:hAnsi="Tahoma" w:cs="Tahoma"/>
          <w:sz w:val="20"/>
          <w:szCs w:val="20"/>
        </w:rPr>
      </w:pPr>
    </w:p>
    <w:p w:rsidR="00383035" w:rsidRPr="00383035" w:rsidRDefault="00383035" w:rsidP="00383035">
      <w:pPr>
        <w:ind w:left="567"/>
        <w:jc w:val="both"/>
        <w:rPr>
          <w:rFonts w:ascii="Tahoma" w:hAnsi="Tahoma" w:cs="Tahoma"/>
          <w:sz w:val="20"/>
          <w:szCs w:val="20"/>
        </w:rPr>
      </w:pPr>
      <w:r w:rsidRPr="00383035">
        <w:rPr>
          <w:rFonts w:ascii="Tahoma" w:hAnsi="Tahoma" w:cs="Tahoma"/>
          <w:sz w:val="20"/>
          <w:szCs w:val="20"/>
        </w:rPr>
        <w:t xml:space="preserve">En este sentido, </w:t>
      </w:r>
      <w:r w:rsidRPr="00383035">
        <w:rPr>
          <w:rFonts w:ascii="Tahoma" w:hAnsi="Tahoma" w:cs="Tahoma"/>
          <w:sz w:val="20"/>
          <w:szCs w:val="20"/>
          <w:u w:val="single"/>
        </w:rPr>
        <w:t>el Tribunal en el trámite del recurso de apelación llevado a cabo en el presente proceso de selección requirió la opinión técnica de la Cámara de Comercio de Lima, en calidad de entidad evaluadora de origen acreditada ante INDECOPI, quién a través del Informe de Opinión Técnica № IOT004-08/OEO de fecha 22 de diciembre de 2008, manifestó que, el objeto de la pericia no está en determinar o no la capacidad de la empresa para la fabricación de los equipos, si no que al amparo de la autorización otorgada por INDECOPI, emite opinión técnica sobre el origen de los productos cuya nacionalidad haya sido impugnada. De igual modo, la Cámara de Comercio de Lima señaló que no podía opinar sobre el origen de un bien que no existe (correntómetro)</w:t>
      </w:r>
      <w:r w:rsidRPr="00383035">
        <w:rPr>
          <w:rFonts w:ascii="Tahoma" w:hAnsi="Tahoma" w:cs="Tahoma"/>
          <w:sz w:val="20"/>
          <w:szCs w:val="20"/>
        </w:rPr>
        <w:t xml:space="preserve">. </w:t>
      </w:r>
    </w:p>
    <w:p w:rsidR="00383035" w:rsidRPr="00383035" w:rsidRDefault="00383035" w:rsidP="00383035">
      <w:pPr>
        <w:pStyle w:val="Prrafodelista"/>
        <w:rPr>
          <w:rFonts w:ascii="Tahoma" w:hAnsi="Tahoma" w:cs="Tahoma"/>
          <w:sz w:val="20"/>
          <w:szCs w:val="20"/>
        </w:rPr>
      </w:pPr>
    </w:p>
    <w:p w:rsidR="00383035" w:rsidRPr="00383035" w:rsidRDefault="00383035" w:rsidP="00383035">
      <w:pPr>
        <w:ind w:left="567"/>
        <w:jc w:val="both"/>
        <w:rPr>
          <w:rFonts w:ascii="Tahoma" w:hAnsi="Tahoma" w:cs="Tahoma"/>
          <w:sz w:val="20"/>
          <w:szCs w:val="20"/>
        </w:rPr>
      </w:pPr>
      <w:r w:rsidRPr="00383035">
        <w:rPr>
          <w:rFonts w:ascii="Tahoma" w:hAnsi="Tahoma" w:cs="Tahoma"/>
          <w:sz w:val="20"/>
          <w:szCs w:val="20"/>
        </w:rPr>
        <w:t xml:space="preserve">Asimismo, </w:t>
      </w:r>
      <w:r w:rsidRPr="00383035">
        <w:rPr>
          <w:rFonts w:ascii="Tahoma" w:hAnsi="Tahoma" w:cs="Tahoma"/>
          <w:sz w:val="20"/>
          <w:szCs w:val="20"/>
          <w:u w:val="single"/>
        </w:rPr>
        <w:t>la citada entidad evaluadora concluyó que de la documentación presentada, así como de las visitas realizadas, el Postor no ha acreditado en forma fehaciente la fabricación del correntómetro dentro del territorio nacional, por lo que no era posible pronunciarse respecto a su origen</w:t>
      </w:r>
      <w:r w:rsidRPr="00383035">
        <w:rPr>
          <w:rFonts w:ascii="Tahoma" w:hAnsi="Tahoma" w:cs="Tahoma"/>
          <w:sz w:val="20"/>
          <w:szCs w:val="20"/>
        </w:rPr>
        <w:t xml:space="preserve"> (el subrayado es nuestro).</w:t>
      </w:r>
    </w:p>
    <w:p w:rsidR="00383035" w:rsidRPr="00383035" w:rsidRDefault="00383035" w:rsidP="00383035">
      <w:pPr>
        <w:pStyle w:val="Prrafodelista"/>
        <w:rPr>
          <w:rFonts w:ascii="Tahoma" w:hAnsi="Tahoma" w:cs="Tahoma"/>
          <w:sz w:val="20"/>
          <w:szCs w:val="20"/>
        </w:rPr>
      </w:pPr>
    </w:p>
    <w:p w:rsidR="00383035" w:rsidRPr="00383035" w:rsidRDefault="00383035" w:rsidP="00383035">
      <w:pPr>
        <w:numPr>
          <w:ilvl w:val="0"/>
          <w:numId w:val="7"/>
        </w:numPr>
        <w:ind w:left="567" w:hanging="567"/>
        <w:jc w:val="both"/>
        <w:rPr>
          <w:rFonts w:ascii="Tahoma" w:hAnsi="Tahoma" w:cs="Tahoma"/>
          <w:sz w:val="20"/>
          <w:szCs w:val="20"/>
        </w:rPr>
      </w:pPr>
      <w:r w:rsidRPr="00383035">
        <w:rPr>
          <w:rFonts w:ascii="Tahoma" w:hAnsi="Tahoma" w:cs="Tahoma"/>
          <w:sz w:val="20"/>
          <w:szCs w:val="20"/>
        </w:rPr>
        <w:t xml:space="preserve">Al respecto, debe indicarse que la Cámara es una Institución habilitada y debidamente autorizada por el Instituto Nacional de Defensa de la Competencia y de la Propiedad Intelectual (INDECOPI), para resolver las controversias respecto al origen nacional de los productos que hayan obtenido la buena pro durante los procesos de selección. No obstante ello, del </w:t>
      </w:r>
      <w:r w:rsidRPr="00383035">
        <w:rPr>
          <w:rFonts w:ascii="Tahoma" w:hAnsi="Tahoma" w:cs="Tahoma"/>
          <w:sz w:val="20"/>
          <w:szCs w:val="20"/>
          <w:u w:val="single"/>
        </w:rPr>
        <w:t>Informe de Opinión Técnica № IOT004-08/OEO de fecha 22 de diciembre de 2008</w:t>
      </w:r>
      <w:r w:rsidRPr="00383035">
        <w:rPr>
          <w:rStyle w:val="Refdenotaalpie"/>
          <w:rFonts w:ascii="Tahoma" w:hAnsi="Tahoma" w:cs="Tahoma"/>
          <w:sz w:val="20"/>
          <w:szCs w:val="20"/>
          <w:u w:val="single"/>
        </w:rPr>
        <w:footnoteReference w:id="4"/>
      </w:r>
      <w:r w:rsidRPr="00383035">
        <w:rPr>
          <w:rFonts w:ascii="Tahoma" w:hAnsi="Tahoma" w:cs="Tahoma"/>
          <w:sz w:val="20"/>
          <w:szCs w:val="20"/>
          <w:u w:val="single"/>
        </w:rPr>
        <w:t xml:space="preserve">, se puede verificar que la Cámara de Comercio ha señalado textualmente que no podía opinar sobre el origen de un bien que no existe </w:t>
      </w:r>
      <w:r w:rsidRPr="00383035">
        <w:rPr>
          <w:rFonts w:ascii="Tahoma" w:hAnsi="Tahoma" w:cs="Tahoma"/>
          <w:sz w:val="20"/>
          <w:szCs w:val="20"/>
        </w:rPr>
        <w:t>(refiriéndose al correntómetro ofertado por el Postor), ya que dicho bien recién iba ser fabricado y entregado dentro de los sesenta (60) días posteriores a la suscripción de contrato respectivo</w:t>
      </w:r>
      <w:r w:rsidRPr="00383035">
        <w:rPr>
          <w:rStyle w:val="Refdenotaalpie"/>
          <w:rFonts w:ascii="Tahoma" w:hAnsi="Tahoma" w:cs="Tahoma"/>
          <w:sz w:val="20"/>
          <w:szCs w:val="20"/>
        </w:rPr>
        <w:footnoteReference w:id="5"/>
      </w:r>
      <w:r w:rsidRPr="00383035">
        <w:rPr>
          <w:rFonts w:ascii="Tahoma" w:hAnsi="Tahoma" w:cs="Tahoma"/>
          <w:sz w:val="20"/>
          <w:szCs w:val="20"/>
        </w:rPr>
        <w:t xml:space="preserve">, motivo por el cual no era posible pronunciarse respecto a su origen. </w:t>
      </w:r>
    </w:p>
    <w:p w:rsidR="00383035" w:rsidRPr="00383035" w:rsidRDefault="00383035" w:rsidP="00383035">
      <w:pPr>
        <w:ind w:left="567"/>
        <w:jc w:val="both"/>
        <w:rPr>
          <w:rFonts w:ascii="Tahoma" w:hAnsi="Tahoma" w:cs="Tahoma"/>
          <w:sz w:val="20"/>
          <w:szCs w:val="20"/>
        </w:rPr>
      </w:pPr>
    </w:p>
    <w:p w:rsidR="00383035" w:rsidRPr="00383035" w:rsidRDefault="00383035" w:rsidP="00383035">
      <w:pPr>
        <w:ind w:left="567"/>
        <w:jc w:val="both"/>
        <w:rPr>
          <w:rFonts w:ascii="Tahoma" w:hAnsi="Tahoma" w:cs="Tahoma"/>
          <w:sz w:val="20"/>
          <w:szCs w:val="20"/>
        </w:rPr>
      </w:pPr>
      <w:r w:rsidRPr="00383035">
        <w:rPr>
          <w:rFonts w:ascii="Tahoma" w:hAnsi="Tahoma" w:cs="Tahoma"/>
          <w:sz w:val="20"/>
          <w:szCs w:val="20"/>
        </w:rPr>
        <w:t>Más aún, resulta pertinente indicar que obra en autos copia del Registro de Propiedad Industrial № 00118973</w:t>
      </w:r>
      <w:r w:rsidRPr="00383035">
        <w:rPr>
          <w:rStyle w:val="Refdenotaalpie"/>
          <w:rFonts w:ascii="Tahoma" w:hAnsi="Tahoma" w:cs="Tahoma"/>
          <w:sz w:val="20"/>
          <w:szCs w:val="20"/>
        </w:rPr>
        <w:footnoteReference w:id="6"/>
      </w:r>
      <w:r w:rsidRPr="00383035">
        <w:rPr>
          <w:rFonts w:ascii="Tahoma" w:hAnsi="Tahoma" w:cs="Tahoma"/>
          <w:sz w:val="20"/>
          <w:szCs w:val="20"/>
        </w:rPr>
        <w:t>, mediante el cual la Oficina de Signos Distintivos del INDECOPI, certificó que por mandato de la Resolución № 014206-2006/OSD – INDECOPI de fecha 4 de setiembre de 2006</w:t>
      </w:r>
      <w:r w:rsidRPr="00383035">
        <w:rPr>
          <w:rStyle w:val="Refdenotaalpie"/>
          <w:rFonts w:ascii="Tahoma" w:hAnsi="Tahoma" w:cs="Tahoma"/>
          <w:sz w:val="20"/>
          <w:szCs w:val="20"/>
        </w:rPr>
        <w:footnoteReference w:id="7"/>
      </w:r>
      <w:r w:rsidRPr="00383035">
        <w:rPr>
          <w:rFonts w:ascii="Tahoma" w:hAnsi="Tahoma" w:cs="Tahoma"/>
          <w:sz w:val="20"/>
          <w:szCs w:val="20"/>
        </w:rPr>
        <w:t xml:space="preserve">, había quedado inscrito en el Registro de Marcas de Producto, el siguiente signo: </w:t>
      </w:r>
      <w:r w:rsidRPr="00383035">
        <w:rPr>
          <w:rFonts w:ascii="Tahoma" w:hAnsi="Tahoma" w:cs="Tahoma"/>
          <w:b/>
          <w:i/>
          <w:sz w:val="20"/>
          <w:szCs w:val="20"/>
        </w:rPr>
        <w:t>“La denominación EDU, al interior de un cuadrado de bordes curvos, en los colores blanco y negro; conforme al modelo adjunto”. “Distingue: Molinete Universal (correntómetro</w:t>
      </w:r>
      <w:r w:rsidRPr="00383035">
        <w:rPr>
          <w:rFonts w:ascii="Tahoma" w:hAnsi="Tahoma" w:cs="Tahoma"/>
          <w:i/>
          <w:sz w:val="20"/>
          <w:szCs w:val="20"/>
        </w:rPr>
        <w:t xml:space="preserve">)” (el resaltado es nuestro). </w:t>
      </w:r>
      <w:r w:rsidRPr="00383035">
        <w:rPr>
          <w:rFonts w:ascii="Tahoma" w:hAnsi="Tahoma" w:cs="Tahoma"/>
          <w:sz w:val="20"/>
          <w:szCs w:val="20"/>
        </w:rPr>
        <w:t xml:space="preserve">En ese sentido, se puede advertir que el Postor había registrado como una marca propia ante el </w:t>
      </w:r>
      <w:r w:rsidRPr="00383035">
        <w:rPr>
          <w:rFonts w:ascii="Tahoma" w:hAnsi="Tahoma" w:cs="Tahoma"/>
          <w:sz w:val="20"/>
          <w:szCs w:val="20"/>
        </w:rPr>
        <w:lastRenderedPageBreak/>
        <w:t>INDECOPI, el bien denominado Molinete Universal (correntómetro), el cual había sido ofertado al citado proceso de selección, situación que evidenciaría que el mencionado producto iba ser elaborado por el Postor en el territorio nacional, circunstancia que el Informe de la Cámara de Comercio de Lima no ha desvirtuado fehacientemente.</w:t>
      </w:r>
    </w:p>
    <w:p w:rsidR="00383035" w:rsidRPr="00383035" w:rsidRDefault="00383035" w:rsidP="00383035">
      <w:pPr>
        <w:ind w:left="567"/>
        <w:jc w:val="both"/>
        <w:rPr>
          <w:rFonts w:ascii="Tahoma" w:hAnsi="Tahoma" w:cs="Tahoma"/>
          <w:sz w:val="20"/>
          <w:szCs w:val="20"/>
        </w:rPr>
      </w:pPr>
    </w:p>
    <w:p w:rsidR="00383035" w:rsidRPr="00383035" w:rsidRDefault="00383035" w:rsidP="00383035">
      <w:pPr>
        <w:numPr>
          <w:ilvl w:val="0"/>
          <w:numId w:val="7"/>
        </w:numPr>
        <w:ind w:left="567" w:hanging="567"/>
        <w:jc w:val="both"/>
        <w:rPr>
          <w:rFonts w:ascii="Tahoma" w:hAnsi="Tahoma" w:cs="Tahoma"/>
          <w:sz w:val="20"/>
          <w:szCs w:val="20"/>
        </w:rPr>
      </w:pPr>
      <w:r w:rsidRPr="00383035">
        <w:rPr>
          <w:rFonts w:ascii="Tahoma" w:hAnsi="Tahoma" w:cs="Tahoma"/>
          <w:bCs/>
          <w:sz w:val="20"/>
          <w:szCs w:val="20"/>
        </w:rPr>
        <w:t>De lo expuesto, y en tanto no obra en autos prueba alguna que desvirtué que el producto ofertado en el acotado proceso de selección (</w:t>
      </w:r>
      <w:r w:rsidRPr="00383035">
        <w:rPr>
          <w:rFonts w:ascii="Tahoma" w:hAnsi="Tahoma" w:cs="Tahoma"/>
          <w:sz w:val="20"/>
          <w:szCs w:val="20"/>
        </w:rPr>
        <w:t>correntómetro</w:t>
      </w:r>
      <w:r w:rsidRPr="00383035">
        <w:rPr>
          <w:rFonts w:ascii="Tahoma" w:hAnsi="Tahoma" w:cs="Tahoma"/>
          <w:bCs/>
          <w:sz w:val="20"/>
          <w:szCs w:val="20"/>
        </w:rPr>
        <w:t xml:space="preserve">) iba ser elaborado en el territorio nacional, este Colegiado considera que debe prevalecer la presunción de veracidad que reviste a </w:t>
      </w:r>
      <w:r w:rsidRPr="00383035">
        <w:rPr>
          <w:rFonts w:ascii="Tahoma" w:hAnsi="Tahoma" w:cs="Tahoma"/>
          <w:sz w:val="20"/>
          <w:szCs w:val="20"/>
          <w:lang w:val="es-PE"/>
        </w:rPr>
        <w:t xml:space="preserve">la </w:t>
      </w:r>
      <w:r w:rsidRPr="00383035">
        <w:rPr>
          <w:rFonts w:ascii="Tahoma" w:hAnsi="Tahoma" w:cs="Tahoma"/>
          <w:sz w:val="20"/>
          <w:szCs w:val="20"/>
        </w:rPr>
        <w:t>Declaración Jurada de Bienes Elaborados en Territorio Nacional de fecha 24 de julio de 2008</w:t>
      </w:r>
      <w:r w:rsidRPr="00383035">
        <w:rPr>
          <w:rFonts w:ascii="Tahoma" w:hAnsi="Tahoma" w:cs="Tahoma"/>
          <w:sz w:val="20"/>
          <w:szCs w:val="20"/>
          <w:lang w:val="es-PE"/>
        </w:rPr>
        <w:t xml:space="preserve">, presentada por el Postor durante </w:t>
      </w:r>
      <w:r w:rsidRPr="00383035">
        <w:rPr>
          <w:rFonts w:ascii="Tahoma" w:hAnsi="Tahoma" w:cs="Tahoma"/>
          <w:sz w:val="20"/>
          <w:szCs w:val="20"/>
        </w:rPr>
        <w:t>la Adjudicación Directa Pública № 0002-2008-SENAMHI</w:t>
      </w:r>
      <w:r w:rsidRPr="00383035">
        <w:rPr>
          <w:rFonts w:ascii="Tahoma" w:hAnsi="Tahoma" w:cs="Tahoma"/>
          <w:bCs/>
          <w:sz w:val="20"/>
          <w:szCs w:val="20"/>
        </w:rPr>
        <w:t xml:space="preserve"> (Primera Convocatoria). </w:t>
      </w:r>
      <w:r w:rsidRPr="00383035">
        <w:rPr>
          <w:rFonts w:ascii="Tahoma" w:hAnsi="Tahoma" w:cs="Tahoma"/>
          <w:sz w:val="20"/>
          <w:szCs w:val="20"/>
          <w:u w:val="single"/>
        </w:rPr>
        <w:t>Por lo tanto, y no habiéndose demostrado fehacientemente que la mencionada declaración contuviera información no acorde con la realidad, el Postor no es pasible de sanción por la causal invocada, ya que existiría en el presente caso una duda razonable, hecho que favorecería al administrado, ya que todo administrado puede ser sancionado en virtud a pruebas que generen convicción sobre su responsabilidad. Sin perjuicio que la parte que se considere afectada  adopte las medidas legales que considere pertinentes</w:t>
      </w:r>
      <w:r w:rsidRPr="00383035">
        <w:rPr>
          <w:rFonts w:ascii="Tahoma" w:hAnsi="Tahoma" w:cs="Tahoma"/>
          <w:sz w:val="20"/>
          <w:szCs w:val="20"/>
        </w:rPr>
        <w:t xml:space="preserve"> (el subrayado es nuestro).</w:t>
      </w:r>
    </w:p>
    <w:p w:rsidR="00383035" w:rsidRPr="00383035" w:rsidRDefault="00383035" w:rsidP="00383035">
      <w:pPr>
        <w:pStyle w:val="Prrafodelista"/>
        <w:rPr>
          <w:rFonts w:ascii="Tahoma" w:hAnsi="Tahoma" w:cs="Tahoma"/>
          <w:sz w:val="20"/>
          <w:szCs w:val="20"/>
        </w:rPr>
      </w:pPr>
    </w:p>
    <w:p w:rsidR="00383035" w:rsidRPr="00383035" w:rsidRDefault="00383035" w:rsidP="00383035">
      <w:pPr>
        <w:numPr>
          <w:ilvl w:val="0"/>
          <w:numId w:val="7"/>
        </w:numPr>
        <w:ind w:left="567" w:hanging="567"/>
        <w:jc w:val="both"/>
        <w:rPr>
          <w:rFonts w:ascii="Tahoma" w:hAnsi="Tahoma" w:cs="Tahoma"/>
          <w:sz w:val="20"/>
          <w:szCs w:val="20"/>
        </w:rPr>
      </w:pPr>
      <w:r w:rsidRPr="00383035">
        <w:rPr>
          <w:rFonts w:ascii="Tahoma" w:hAnsi="Tahoma" w:cs="Tahoma"/>
          <w:sz w:val="20"/>
          <w:szCs w:val="20"/>
        </w:rPr>
        <w:t>Asimismo, es pertinente indicar que “</w:t>
      </w:r>
      <w:r w:rsidRPr="00383035">
        <w:rPr>
          <w:rFonts w:ascii="Tahoma" w:hAnsi="Tahoma" w:cs="Tahoma"/>
          <w:i/>
          <w:sz w:val="20"/>
          <w:szCs w:val="20"/>
        </w:rPr>
        <w:t>la absolución en caso de insuficiencia probatoria o duda razonable sobre su culpabilidad, se genera si la evidencia actuada en el procedimiento administrativo sancionador no llega a formar convicción de la ilicitud del acto y de la culpabilidad del administrado, se impone el mandato de absolución implícito que esta presunción conlleva – in dubio pro reo -. En todos los casos de inexistencia de prueba necesaria para destruir la presunción de inocencia, incluyendo la duda razonable, obliga a la absolución del reo</w:t>
      </w:r>
      <w:r w:rsidRPr="00383035">
        <w:rPr>
          <w:rFonts w:ascii="Tahoma" w:hAnsi="Tahoma" w:cs="Tahoma"/>
          <w:sz w:val="20"/>
          <w:szCs w:val="20"/>
        </w:rPr>
        <w:t>”</w:t>
      </w:r>
      <w:r w:rsidRPr="00383035">
        <w:rPr>
          <w:rStyle w:val="Refdenotaalpie"/>
          <w:rFonts w:ascii="Tahoma" w:hAnsi="Tahoma" w:cs="Tahoma"/>
          <w:sz w:val="20"/>
          <w:szCs w:val="20"/>
        </w:rPr>
        <w:footnoteReference w:id="8"/>
      </w:r>
      <w:r w:rsidRPr="00383035">
        <w:rPr>
          <w:rFonts w:ascii="Tahoma" w:hAnsi="Tahoma" w:cs="Tahoma"/>
          <w:sz w:val="20"/>
          <w:szCs w:val="20"/>
        </w:rPr>
        <w:t>, lo cual tiene concordancia con el principio de presunción de licitud, inocencia o corrección establecido en el artículo 230 de la Ley del Procedimiento Administrativo General.</w:t>
      </w:r>
    </w:p>
    <w:p w:rsidR="00383035" w:rsidRPr="00383035" w:rsidRDefault="00383035" w:rsidP="00383035">
      <w:pPr>
        <w:pStyle w:val="Prrafodelista"/>
        <w:rPr>
          <w:rFonts w:ascii="Tahoma" w:hAnsi="Tahoma" w:cs="Tahoma"/>
          <w:sz w:val="20"/>
          <w:szCs w:val="20"/>
        </w:rPr>
      </w:pPr>
    </w:p>
    <w:p w:rsidR="00383035" w:rsidRPr="00383035" w:rsidRDefault="00383035" w:rsidP="00383035">
      <w:pPr>
        <w:numPr>
          <w:ilvl w:val="0"/>
          <w:numId w:val="7"/>
        </w:numPr>
        <w:ind w:left="567" w:hanging="567"/>
        <w:jc w:val="both"/>
        <w:rPr>
          <w:rFonts w:ascii="Tahoma" w:hAnsi="Tahoma" w:cs="Tahoma"/>
          <w:sz w:val="20"/>
          <w:szCs w:val="20"/>
        </w:rPr>
      </w:pPr>
      <w:r w:rsidRPr="00383035">
        <w:rPr>
          <w:rFonts w:ascii="Tahoma" w:hAnsi="Tahoma" w:cs="Tahoma"/>
          <w:sz w:val="20"/>
          <w:szCs w:val="20"/>
        </w:rPr>
        <w:t xml:space="preserve">En atención a ello, la potestad sancionadora del Tribunal se encuentra regida, entre otros por el </w:t>
      </w:r>
      <w:r w:rsidRPr="00383035">
        <w:rPr>
          <w:rFonts w:ascii="Tahoma" w:hAnsi="Tahoma" w:cs="Tahoma"/>
          <w:i/>
          <w:sz w:val="20"/>
          <w:szCs w:val="20"/>
        </w:rPr>
        <w:t>principio de presunción de licitud</w:t>
      </w:r>
      <w:r w:rsidRPr="00383035">
        <w:rPr>
          <w:rFonts w:ascii="Tahoma" w:hAnsi="Tahoma" w:cs="Tahoma"/>
          <w:sz w:val="20"/>
          <w:szCs w:val="20"/>
        </w:rPr>
        <w:t xml:space="preserve"> a que se contrae el inciso 9 del artículo 230 de la Ley de Procedimiento Administrativo General, el cual establece que durante la tramitación de un procedimiento administrativo, las autoridades deben presumir  que los administrados han actuado apegados a sus deberes mientras que no cuenten con evidencia en contrario. Asimismo, </w:t>
      </w:r>
      <w:r w:rsidRPr="00383035">
        <w:rPr>
          <w:rFonts w:ascii="Tahoma" w:hAnsi="Tahoma" w:cs="Tahoma"/>
          <w:i/>
          <w:sz w:val="20"/>
          <w:szCs w:val="20"/>
        </w:rPr>
        <w:t>el principio de tipicidad</w:t>
      </w:r>
      <w:r w:rsidRPr="00383035">
        <w:rPr>
          <w:rFonts w:ascii="Tahoma" w:hAnsi="Tahoma" w:cs="Tahoma"/>
          <w:sz w:val="20"/>
          <w:szCs w:val="20"/>
        </w:rPr>
        <w:t>, consagrado en el numeral 4 del mismo artículo, exige que se sancionen administrativamente únicamente las infracciones expresamente previstas en las normas con rango de ley o reglamento mediante su tipificación como tales, sin admitir interpretación extensiva o analogía.</w:t>
      </w:r>
    </w:p>
    <w:p w:rsidR="00383035" w:rsidRPr="00383035" w:rsidRDefault="00383035" w:rsidP="00383035">
      <w:pPr>
        <w:pStyle w:val="Prrafodelista"/>
        <w:rPr>
          <w:rFonts w:ascii="Tahoma" w:hAnsi="Tahoma" w:cs="Tahoma"/>
          <w:sz w:val="20"/>
          <w:szCs w:val="20"/>
        </w:rPr>
      </w:pPr>
    </w:p>
    <w:p w:rsidR="00383035" w:rsidRPr="00383035" w:rsidRDefault="00383035" w:rsidP="00383035">
      <w:pPr>
        <w:numPr>
          <w:ilvl w:val="0"/>
          <w:numId w:val="7"/>
        </w:numPr>
        <w:ind w:left="567" w:hanging="567"/>
        <w:jc w:val="both"/>
        <w:rPr>
          <w:rFonts w:ascii="Tahoma" w:hAnsi="Tahoma" w:cs="Tahoma"/>
          <w:sz w:val="20"/>
          <w:szCs w:val="20"/>
        </w:rPr>
      </w:pPr>
      <w:r w:rsidRPr="00383035">
        <w:rPr>
          <w:rFonts w:ascii="Tahoma" w:hAnsi="Tahoma" w:cs="Tahoma"/>
          <w:sz w:val="20"/>
          <w:szCs w:val="20"/>
        </w:rPr>
        <w:t xml:space="preserve">En consecuencia, dado que no se han establecido elementos que produzcan plena certeza sobre la supuesta falsedad y/o inexactitud de la información presentada por el Postor durante el citado proceso de selección, este Colegiado concluye que debe prevalecer la presunción de veracidad que ampara al referido documento, motivo por el </w:t>
      </w:r>
      <w:r w:rsidRPr="00383035">
        <w:rPr>
          <w:rFonts w:ascii="Tahoma" w:hAnsi="Tahoma" w:cs="Tahoma"/>
          <w:sz w:val="20"/>
          <w:szCs w:val="20"/>
        </w:rPr>
        <w:lastRenderedPageBreak/>
        <w:t xml:space="preserve">cual no corresponde imponerle sanción administrativa, debiendo archivarse el presente expediente. </w:t>
      </w:r>
    </w:p>
    <w:p w:rsidR="00F31A7A" w:rsidRPr="00383035" w:rsidRDefault="00F31A7A" w:rsidP="00117E78">
      <w:pPr>
        <w:pStyle w:val="Prrafodelista"/>
        <w:tabs>
          <w:tab w:val="num" w:pos="567"/>
        </w:tabs>
        <w:ind w:left="0"/>
        <w:rPr>
          <w:rFonts w:ascii="Tahoma" w:hAnsi="Tahoma" w:cs="Tahoma"/>
          <w:sz w:val="20"/>
          <w:szCs w:val="20"/>
        </w:rPr>
      </w:pPr>
    </w:p>
    <w:p w:rsidR="008A0308" w:rsidRPr="00383035" w:rsidRDefault="008A0308" w:rsidP="008A0308">
      <w:pPr>
        <w:ind w:left="567" w:firstLine="567"/>
        <w:jc w:val="both"/>
        <w:rPr>
          <w:rFonts w:ascii="Tahoma" w:hAnsi="Tahoma" w:cs="Tahoma"/>
          <w:sz w:val="20"/>
          <w:szCs w:val="20"/>
        </w:rPr>
      </w:pPr>
      <w:r w:rsidRPr="00383035">
        <w:rPr>
          <w:rFonts w:ascii="Tahoma" w:hAnsi="Tahoma" w:cs="Tahoma"/>
          <w:color w:val="000000"/>
          <w:sz w:val="20"/>
          <w:szCs w:val="20"/>
        </w:rPr>
        <w:t xml:space="preserve">Por estos fundamentos, de conformidad con el informe del Vocal Ponente </w:t>
      </w:r>
      <w:r w:rsidRPr="00383035">
        <w:rPr>
          <w:rFonts w:ascii="Tahoma" w:hAnsi="Tahoma" w:cs="Tahoma"/>
          <w:sz w:val="20"/>
          <w:szCs w:val="20"/>
        </w:rPr>
        <w:t>Doctor Carlos Vicente Navas Rondón</w:t>
      </w:r>
      <w:r w:rsidRPr="00383035">
        <w:rPr>
          <w:rFonts w:ascii="Tahoma" w:hAnsi="Tahoma" w:cs="Tahoma"/>
          <w:color w:val="000000"/>
          <w:sz w:val="20"/>
          <w:szCs w:val="20"/>
        </w:rPr>
        <w:t xml:space="preserve"> y la intervención de las Vocales Dra. Janette Elke Ramírez Maynetto y Dra. Ada Basulto Liewald, y atendiendo a la reconformación de la Primera Sala del Tribunal de Contrataciones del Estado según lo dispuesto en la Resolución № 103-2011-OSCE/PRE de fecha 15 de febrero de 2011, y en ejercicio de las facultades conferidas en los artículos 53, 59 y 61 aprobado por Decreto Legislativo 1017, Ley de Contrataciones del Estado, su Reglamento, aprobado por Decreto Supremo № 184-2008-EF, y los artículos 17 y 18 del Reglamento de Organización y Funciones del OSCE, aprobado por Decreto Supremo № 006-2009-EF; analizados los antecedentes y luego de agotado el debate correspondiente, por unanimidad;</w:t>
      </w:r>
    </w:p>
    <w:p w:rsidR="008A0308" w:rsidRPr="00383035" w:rsidRDefault="008A0308" w:rsidP="008A0308">
      <w:pPr>
        <w:jc w:val="both"/>
        <w:rPr>
          <w:rFonts w:ascii="Tahoma" w:hAnsi="Tahoma" w:cs="Tahoma"/>
          <w:sz w:val="20"/>
          <w:szCs w:val="20"/>
        </w:rPr>
      </w:pPr>
    </w:p>
    <w:p w:rsidR="00F31A7A" w:rsidRPr="00383035" w:rsidRDefault="00F31A7A" w:rsidP="00266B38">
      <w:pPr>
        <w:ind w:left="567" w:firstLine="567"/>
        <w:jc w:val="both"/>
        <w:rPr>
          <w:rFonts w:ascii="Tahoma" w:hAnsi="Tahoma" w:cs="Tahoma"/>
          <w:sz w:val="20"/>
          <w:szCs w:val="20"/>
        </w:rPr>
      </w:pPr>
    </w:p>
    <w:p w:rsidR="00F31A7A" w:rsidRPr="00383035" w:rsidRDefault="00F31A7A" w:rsidP="00F31A7A">
      <w:pPr>
        <w:ind w:right="-315"/>
        <w:jc w:val="both"/>
        <w:rPr>
          <w:rFonts w:ascii="Tahoma" w:hAnsi="Tahoma" w:cs="Tahoma"/>
          <w:b/>
          <w:sz w:val="20"/>
          <w:szCs w:val="20"/>
        </w:rPr>
      </w:pPr>
      <w:r w:rsidRPr="00383035">
        <w:rPr>
          <w:rFonts w:ascii="Tahoma" w:hAnsi="Tahoma" w:cs="Tahoma"/>
          <w:b/>
          <w:sz w:val="20"/>
          <w:szCs w:val="20"/>
        </w:rPr>
        <w:t>LA SALA RESUELVE:</w:t>
      </w:r>
    </w:p>
    <w:p w:rsidR="00F31A7A" w:rsidRPr="00383035" w:rsidRDefault="00F31A7A" w:rsidP="00F31A7A">
      <w:pPr>
        <w:ind w:left="-180"/>
        <w:jc w:val="both"/>
        <w:rPr>
          <w:rFonts w:ascii="Tahoma" w:hAnsi="Tahoma" w:cs="Tahoma"/>
          <w:sz w:val="20"/>
          <w:szCs w:val="20"/>
        </w:rPr>
      </w:pPr>
    </w:p>
    <w:p w:rsidR="00383035" w:rsidRPr="00383035" w:rsidRDefault="00383035" w:rsidP="00383035">
      <w:pPr>
        <w:ind w:left="567"/>
        <w:jc w:val="both"/>
        <w:rPr>
          <w:rFonts w:ascii="Tahoma" w:hAnsi="Tahoma" w:cs="Tahoma"/>
          <w:sz w:val="20"/>
          <w:szCs w:val="20"/>
        </w:rPr>
      </w:pPr>
      <w:r w:rsidRPr="00383035">
        <w:rPr>
          <w:rFonts w:ascii="Tahoma" w:hAnsi="Tahoma" w:cs="Tahoma"/>
          <w:sz w:val="20"/>
          <w:szCs w:val="20"/>
        </w:rPr>
        <w:t xml:space="preserve">Declarar no ha lugar la imposición de sanción administrativa a la empresa </w:t>
      </w:r>
      <w:r w:rsidRPr="00383035">
        <w:rPr>
          <w:rFonts w:ascii="Tahoma" w:hAnsi="Tahoma" w:cs="Tahoma"/>
          <w:bCs/>
          <w:sz w:val="20"/>
          <w:szCs w:val="20"/>
        </w:rPr>
        <w:t>EDU REPRESENTACIONES E.I.R.L</w:t>
      </w:r>
      <w:r w:rsidRPr="00383035">
        <w:rPr>
          <w:rFonts w:ascii="Tahoma" w:hAnsi="Tahoma" w:cs="Tahoma"/>
          <w:sz w:val="20"/>
          <w:szCs w:val="20"/>
        </w:rPr>
        <w:t xml:space="preserve"> por su supuesta responsabilidad en  la presentación de documentación falsa y/o inexacta en la Adjudicación Directa Pública № 0002-2008-SENAMHI</w:t>
      </w:r>
      <w:r w:rsidRPr="00383035">
        <w:rPr>
          <w:rFonts w:ascii="Tahoma" w:hAnsi="Tahoma" w:cs="Tahoma"/>
          <w:bCs/>
          <w:sz w:val="20"/>
          <w:szCs w:val="20"/>
        </w:rPr>
        <w:t xml:space="preserve"> (Primera Convocatoria)</w:t>
      </w:r>
      <w:r w:rsidRPr="00383035">
        <w:rPr>
          <w:rFonts w:ascii="Tahoma" w:hAnsi="Tahoma" w:cs="Tahoma"/>
          <w:sz w:val="20"/>
          <w:szCs w:val="20"/>
        </w:rPr>
        <w:t>, infracción contenida en el numeral 9) del artículo 294 del Reglamento, por los hechos expuestos,  debiendo archivarse definitivamente el presente expediente.</w:t>
      </w:r>
    </w:p>
    <w:p w:rsidR="00F31A7A" w:rsidRPr="00383035" w:rsidRDefault="00F31A7A" w:rsidP="00F31A7A">
      <w:pPr>
        <w:pStyle w:val="NormalWeb"/>
        <w:spacing w:before="0" w:beforeAutospacing="0" w:after="0" w:afterAutospacing="0"/>
        <w:ind w:left="567"/>
        <w:jc w:val="both"/>
        <w:rPr>
          <w:rFonts w:ascii="Tahoma" w:hAnsi="Tahoma" w:cs="Tahoma"/>
          <w:sz w:val="20"/>
          <w:szCs w:val="20"/>
        </w:rPr>
      </w:pPr>
    </w:p>
    <w:p w:rsidR="00F31A7A" w:rsidRPr="00383035" w:rsidRDefault="00F31A7A" w:rsidP="00F31A7A">
      <w:pPr>
        <w:pStyle w:val="Textoindependiente21"/>
        <w:ind w:firstLine="540"/>
        <w:rPr>
          <w:rFonts w:cs="Tahoma"/>
          <w:sz w:val="20"/>
        </w:rPr>
      </w:pPr>
      <w:r w:rsidRPr="00383035">
        <w:rPr>
          <w:rFonts w:cs="Tahoma"/>
          <w:sz w:val="20"/>
        </w:rPr>
        <w:t>Regístrese, comuníquese y publíquese.</w:t>
      </w:r>
    </w:p>
    <w:p w:rsidR="00F31A7A" w:rsidRPr="00383035" w:rsidRDefault="00F31A7A" w:rsidP="00F31A7A">
      <w:pPr>
        <w:ind w:left="720"/>
        <w:rPr>
          <w:rFonts w:ascii="Tahoma" w:hAnsi="Tahoma" w:cs="Tahoma"/>
          <w:b/>
          <w:bCs/>
          <w:shadow/>
          <w:sz w:val="20"/>
          <w:szCs w:val="20"/>
        </w:rPr>
      </w:pPr>
    </w:p>
    <w:p w:rsidR="00F31A7A" w:rsidRPr="00383035" w:rsidRDefault="00F31A7A" w:rsidP="00F31A7A">
      <w:pPr>
        <w:ind w:left="720"/>
        <w:rPr>
          <w:rFonts w:ascii="Tahoma" w:hAnsi="Tahoma" w:cs="Tahoma"/>
          <w:b/>
          <w:bCs/>
          <w:shadow/>
          <w:sz w:val="20"/>
          <w:szCs w:val="20"/>
        </w:rPr>
      </w:pPr>
    </w:p>
    <w:p w:rsidR="008A0308" w:rsidRPr="00383035" w:rsidRDefault="008A0308" w:rsidP="00F31A7A">
      <w:pPr>
        <w:ind w:left="720"/>
        <w:rPr>
          <w:rFonts w:ascii="Tahoma" w:hAnsi="Tahoma" w:cs="Tahoma"/>
          <w:b/>
          <w:bCs/>
          <w:shadow/>
          <w:sz w:val="20"/>
          <w:szCs w:val="20"/>
        </w:rPr>
      </w:pPr>
    </w:p>
    <w:p w:rsidR="008A0308" w:rsidRPr="00383035" w:rsidRDefault="008A0308" w:rsidP="00F31A7A">
      <w:pPr>
        <w:ind w:left="720"/>
        <w:rPr>
          <w:rFonts w:ascii="Tahoma" w:hAnsi="Tahoma" w:cs="Tahoma"/>
          <w:b/>
          <w:bCs/>
          <w:shadow/>
          <w:sz w:val="20"/>
          <w:szCs w:val="20"/>
        </w:rPr>
      </w:pPr>
    </w:p>
    <w:p w:rsidR="008A0308" w:rsidRPr="00383035" w:rsidRDefault="008A0308" w:rsidP="00F31A7A">
      <w:pPr>
        <w:ind w:left="720"/>
        <w:rPr>
          <w:rFonts w:ascii="Tahoma" w:hAnsi="Tahoma" w:cs="Tahoma"/>
          <w:b/>
          <w:bCs/>
          <w:shadow/>
          <w:sz w:val="20"/>
          <w:szCs w:val="20"/>
        </w:rPr>
      </w:pPr>
    </w:p>
    <w:p w:rsidR="008A0308" w:rsidRPr="00383035" w:rsidRDefault="008A0308" w:rsidP="00F31A7A">
      <w:pPr>
        <w:ind w:left="720"/>
        <w:rPr>
          <w:rFonts w:ascii="Tahoma" w:hAnsi="Tahoma" w:cs="Tahoma"/>
          <w:b/>
          <w:bCs/>
          <w:shadow/>
          <w:sz w:val="20"/>
          <w:szCs w:val="20"/>
        </w:rPr>
      </w:pPr>
    </w:p>
    <w:p w:rsidR="00190839" w:rsidRPr="00383035" w:rsidRDefault="00190839" w:rsidP="00F31A7A">
      <w:pPr>
        <w:ind w:left="720"/>
        <w:rPr>
          <w:rFonts w:ascii="Tahoma" w:hAnsi="Tahoma" w:cs="Tahoma"/>
          <w:b/>
          <w:bCs/>
          <w:shadow/>
          <w:sz w:val="20"/>
          <w:szCs w:val="20"/>
        </w:rPr>
      </w:pPr>
    </w:p>
    <w:p w:rsidR="003B3C54" w:rsidRPr="00383035" w:rsidRDefault="003B3C54" w:rsidP="00F31A7A">
      <w:pPr>
        <w:ind w:left="720"/>
        <w:rPr>
          <w:rFonts w:ascii="Tahoma" w:hAnsi="Tahoma" w:cs="Tahoma"/>
          <w:b/>
          <w:bCs/>
          <w:shadow/>
          <w:sz w:val="20"/>
          <w:szCs w:val="20"/>
        </w:rPr>
      </w:pPr>
    </w:p>
    <w:p w:rsidR="00D93ED4" w:rsidRPr="00383035" w:rsidRDefault="00D93ED4" w:rsidP="00F31A7A">
      <w:pPr>
        <w:ind w:left="720"/>
        <w:rPr>
          <w:rFonts w:ascii="Tahoma" w:hAnsi="Tahoma" w:cs="Tahoma"/>
          <w:b/>
          <w:bCs/>
          <w:shadow/>
          <w:sz w:val="20"/>
          <w:szCs w:val="20"/>
        </w:rPr>
      </w:pPr>
    </w:p>
    <w:p w:rsidR="00F31A7A" w:rsidRPr="00383035" w:rsidRDefault="00F31A7A" w:rsidP="00F31A7A">
      <w:pPr>
        <w:jc w:val="center"/>
        <w:rPr>
          <w:rFonts w:ascii="Tahoma" w:hAnsi="Tahoma" w:cs="Tahoma"/>
          <w:b/>
          <w:bCs/>
          <w:shadow/>
          <w:sz w:val="20"/>
          <w:szCs w:val="20"/>
        </w:rPr>
      </w:pPr>
      <w:r w:rsidRPr="00383035">
        <w:rPr>
          <w:rFonts w:ascii="Tahoma" w:hAnsi="Tahoma" w:cs="Tahoma"/>
          <w:b/>
          <w:bCs/>
          <w:shadow/>
          <w:sz w:val="20"/>
          <w:szCs w:val="20"/>
        </w:rPr>
        <w:t>PRESIDENTE</w:t>
      </w:r>
    </w:p>
    <w:p w:rsidR="00F31A7A" w:rsidRPr="00383035" w:rsidRDefault="00F31A7A" w:rsidP="00F31A7A">
      <w:pPr>
        <w:jc w:val="center"/>
        <w:rPr>
          <w:rFonts w:ascii="Tahoma" w:hAnsi="Tahoma" w:cs="Tahoma"/>
          <w:b/>
          <w:bCs/>
          <w:shadow/>
          <w:sz w:val="20"/>
          <w:szCs w:val="20"/>
        </w:rPr>
      </w:pPr>
    </w:p>
    <w:p w:rsidR="00F31A7A" w:rsidRPr="00383035" w:rsidRDefault="00F31A7A" w:rsidP="00F31A7A">
      <w:pPr>
        <w:jc w:val="center"/>
        <w:rPr>
          <w:rFonts w:ascii="Tahoma" w:hAnsi="Tahoma" w:cs="Tahoma"/>
          <w:b/>
          <w:bCs/>
          <w:shadow/>
          <w:sz w:val="20"/>
          <w:szCs w:val="20"/>
        </w:rPr>
      </w:pPr>
    </w:p>
    <w:p w:rsidR="00F31A7A" w:rsidRPr="00383035" w:rsidRDefault="00F31A7A" w:rsidP="00F31A7A">
      <w:pPr>
        <w:jc w:val="center"/>
        <w:rPr>
          <w:rFonts w:ascii="Tahoma" w:hAnsi="Tahoma" w:cs="Tahoma"/>
          <w:b/>
          <w:bCs/>
          <w:shadow/>
          <w:sz w:val="20"/>
          <w:szCs w:val="20"/>
        </w:rPr>
      </w:pPr>
    </w:p>
    <w:p w:rsidR="00F31A7A" w:rsidRPr="00383035" w:rsidRDefault="00F31A7A" w:rsidP="00F31A7A">
      <w:pPr>
        <w:jc w:val="center"/>
        <w:rPr>
          <w:rFonts w:ascii="Tahoma" w:hAnsi="Tahoma" w:cs="Tahoma"/>
          <w:b/>
          <w:shadow/>
          <w:sz w:val="20"/>
          <w:szCs w:val="20"/>
        </w:rPr>
      </w:pPr>
      <w:r w:rsidRPr="00383035">
        <w:rPr>
          <w:rFonts w:ascii="Tahoma" w:hAnsi="Tahoma" w:cs="Tahoma"/>
          <w:b/>
          <w:shadow/>
          <w:sz w:val="20"/>
          <w:szCs w:val="20"/>
        </w:rPr>
        <w:t xml:space="preserve">VOCAL           </w:t>
      </w:r>
      <w:r w:rsidRPr="00383035">
        <w:rPr>
          <w:rFonts w:ascii="Tahoma" w:hAnsi="Tahoma" w:cs="Tahoma"/>
          <w:b/>
          <w:shadow/>
          <w:sz w:val="20"/>
          <w:szCs w:val="20"/>
        </w:rPr>
        <w:tab/>
      </w:r>
      <w:r w:rsidRPr="00383035">
        <w:rPr>
          <w:rFonts w:ascii="Tahoma" w:hAnsi="Tahoma" w:cs="Tahoma"/>
          <w:b/>
          <w:shadow/>
          <w:sz w:val="20"/>
          <w:szCs w:val="20"/>
        </w:rPr>
        <w:tab/>
        <w:t xml:space="preserve">                                                                VOCAL</w:t>
      </w:r>
    </w:p>
    <w:p w:rsidR="00F31A7A" w:rsidRPr="00383035" w:rsidRDefault="00F31A7A" w:rsidP="00F31A7A">
      <w:pPr>
        <w:jc w:val="center"/>
        <w:rPr>
          <w:rFonts w:ascii="Tahoma" w:hAnsi="Tahoma" w:cs="Tahoma"/>
          <w:shadow/>
          <w:sz w:val="20"/>
          <w:szCs w:val="20"/>
        </w:rPr>
      </w:pPr>
    </w:p>
    <w:p w:rsidR="00F31A7A" w:rsidRPr="00383035" w:rsidRDefault="00F31A7A" w:rsidP="00F31A7A">
      <w:pPr>
        <w:rPr>
          <w:rFonts w:ascii="Tahoma" w:hAnsi="Tahoma" w:cs="Tahoma"/>
          <w:shadow/>
          <w:sz w:val="20"/>
          <w:szCs w:val="20"/>
        </w:rPr>
      </w:pPr>
    </w:p>
    <w:p w:rsidR="00F31A7A" w:rsidRPr="00383035" w:rsidRDefault="00F31A7A" w:rsidP="00F31A7A">
      <w:pPr>
        <w:jc w:val="both"/>
        <w:rPr>
          <w:rFonts w:ascii="Tahoma" w:hAnsi="Tahoma" w:cs="Tahoma"/>
          <w:sz w:val="20"/>
          <w:szCs w:val="20"/>
        </w:rPr>
      </w:pPr>
      <w:r w:rsidRPr="00383035">
        <w:rPr>
          <w:rFonts w:ascii="Tahoma" w:hAnsi="Tahoma" w:cs="Tahoma"/>
          <w:sz w:val="20"/>
          <w:szCs w:val="20"/>
        </w:rPr>
        <w:t>ss.</w:t>
      </w:r>
    </w:p>
    <w:p w:rsidR="008A0308" w:rsidRPr="00383035" w:rsidRDefault="008A0308" w:rsidP="008A0308">
      <w:pPr>
        <w:jc w:val="both"/>
        <w:rPr>
          <w:rFonts w:ascii="Tahoma" w:hAnsi="Tahoma" w:cs="Tahoma"/>
          <w:sz w:val="20"/>
          <w:szCs w:val="20"/>
        </w:rPr>
      </w:pPr>
      <w:r w:rsidRPr="00383035">
        <w:rPr>
          <w:rFonts w:ascii="Tahoma" w:hAnsi="Tahoma" w:cs="Tahoma"/>
          <w:sz w:val="20"/>
          <w:szCs w:val="20"/>
        </w:rPr>
        <w:t>Navas Rondón</w:t>
      </w:r>
    </w:p>
    <w:p w:rsidR="008A0308" w:rsidRPr="00383035" w:rsidRDefault="008A0308" w:rsidP="008A0308">
      <w:pPr>
        <w:jc w:val="both"/>
        <w:rPr>
          <w:rFonts w:ascii="Tahoma" w:hAnsi="Tahoma" w:cs="Tahoma"/>
          <w:color w:val="000000"/>
          <w:sz w:val="20"/>
          <w:szCs w:val="20"/>
        </w:rPr>
      </w:pPr>
      <w:r w:rsidRPr="00383035">
        <w:rPr>
          <w:rFonts w:ascii="Tahoma" w:hAnsi="Tahoma" w:cs="Tahoma"/>
          <w:color w:val="000000"/>
          <w:sz w:val="20"/>
          <w:szCs w:val="20"/>
        </w:rPr>
        <w:t xml:space="preserve">Ramírez Maynetto </w:t>
      </w:r>
    </w:p>
    <w:p w:rsidR="003B3C54" w:rsidRPr="00383035" w:rsidRDefault="008A0308" w:rsidP="008A0308">
      <w:pPr>
        <w:jc w:val="both"/>
        <w:rPr>
          <w:rFonts w:ascii="Tahoma" w:hAnsi="Tahoma" w:cs="Tahoma"/>
          <w:sz w:val="20"/>
          <w:szCs w:val="20"/>
        </w:rPr>
      </w:pPr>
      <w:r w:rsidRPr="00383035">
        <w:rPr>
          <w:rFonts w:ascii="Tahoma" w:hAnsi="Tahoma" w:cs="Tahoma"/>
          <w:sz w:val="20"/>
          <w:szCs w:val="20"/>
        </w:rPr>
        <w:t>Basulto Liewald</w:t>
      </w:r>
    </w:p>
    <w:sectPr w:rsidR="003B3C54" w:rsidRPr="00383035" w:rsidSect="0038791B">
      <w:headerReference w:type="default" r:id="rId7"/>
      <w:footerReference w:type="default" r:id="rId8"/>
      <w:pgSz w:w="11906" w:h="16838"/>
      <w:pgMar w:top="3686" w:right="1701" w:bottom="1701"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50A4B" w:rsidRDefault="00650A4B" w:rsidP="00F31A7A">
      <w:r>
        <w:separator/>
      </w:r>
    </w:p>
  </w:endnote>
  <w:endnote w:type="continuationSeparator" w:id="1">
    <w:p w:rsidR="00650A4B" w:rsidRDefault="00650A4B" w:rsidP="00F31A7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4BB8" w:rsidRPr="00D64584" w:rsidRDefault="00AD7110" w:rsidP="00D64584">
    <w:pPr>
      <w:pStyle w:val="Piedepgina"/>
      <w:jc w:val="center"/>
      <w:rPr>
        <w:i/>
        <w:sz w:val="20"/>
        <w:szCs w:val="20"/>
      </w:rPr>
    </w:pPr>
    <w:r w:rsidRPr="00D64584">
      <w:rPr>
        <w:i/>
        <w:sz w:val="20"/>
        <w:szCs w:val="20"/>
      </w:rPr>
      <w:t xml:space="preserve">Página </w:t>
    </w:r>
    <w:r w:rsidR="008E13D9" w:rsidRPr="00D64584">
      <w:rPr>
        <w:i/>
        <w:sz w:val="20"/>
        <w:szCs w:val="20"/>
      </w:rPr>
      <w:fldChar w:fldCharType="begin"/>
    </w:r>
    <w:r w:rsidRPr="00D64584">
      <w:rPr>
        <w:i/>
        <w:sz w:val="20"/>
        <w:szCs w:val="20"/>
      </w:rPr>
      <w:instrText xml:space="preserve"> PAGE </w:instrText>
    </w:r>
    <w:r w:rsidR="008E13D9" w:rsidRPr="00D64584">
      <w:rPr>
        <w:i/>
        <w:sz w:val="20"/>
        <w:szCs w:val="20"/>
      </w:rPr>
      <w:fldChar w:fldCharType="separate"/>
    </w:r>
    <w:r w:rsidR="00557D75">
      <w:rPr>
        <w:i/>
        <w:noProof/>
        <w:sz w:val="20"/>
        <w:szCs w:val="20"/>
      </w:rPr>
      <w:t>1</w:t>
    </w:r>
    <w:r w:rsidR="008E13D9" w:rsidRPr="00D64584">
      <w:rPr>
        <w:i/>
        <w:sz w:val="20"/>
        <w:szCs w:val="20"/>
      </w:rPr>
      <w:fldChar w:fldCharType="end"/>
    </w:r>
    <w:r w:rsidRPr="00D64584">
      <w:rPr>
        <w:i/>
        <w:sz w:val="20"/>
        <w:szCs w:val="20"/>
      </w:rPr>
      <w:t xml:space="preserve"> de </w:t>
    </w:r>
    <w:r w:rsidR="008E13D9" w:rsidRPr="00D64584">
      <w:rPr>
        <w:i/>
        <w:sz w:val="20"/>
        <w:szCs w:val="20"/>
      </w:rPr>
      <w:fldChar w:fldCharType="begin"/>
    </w:r>
    <w:r w:rsidRPr="00D64584">
      <w:rPr>
        <w:i/>
        <w:sz w:val="20"/>
        <w:szCs w:val="20"/>
      </w:rPr>
      <w:instrText xml:space="preserve"> NUMPAGES </w:instrText>
    </w:r>
    <w:r w:rsidR="008E13D9" w:rsidRPr="00D64584">
      <w:rPr>
        <w:i/>
        <w:sz w:val="20"/>
        <w:szCs w:val="20"/>
      </w:rPr>
      <w:fldChar w:fldCharType="separate"/>
    </w:r>
    <w:r w:rsidR="00557D75">
      <w:rPr>
        <w:i/>
        <w:noProof/>
        <w:sz w:val="20"/>
        <w:szCs w:val="20"/>
      </w:rPr>
      <w:t>9</w:t>
    </w:r>
    <w:r w:rsidR="008E13D9" w:rsidRPr="00D64584">
      <w:rPr>
        <w:i/>
        <w:sz w:val="20"/>
        <w:szCs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50A4B" w:rsidRDefault="00650A4B" w:rsidP="00F31A7A">
      <w:r>
        <w:separator/>
      </w:r>
    </w:p>
  </w:footnote>
  <w:footnote w:type="continuationSeparator" w:id="1">
    <w:p w:rsidR="00650A4B" w:rsidRDefault="00650A4B" w:rsidP="00F31A7A">
      <w:r>
        <w:continuationSeparator/>
      </w:r>
    </w:p>
  </w:footnote>
  <w:footnote w:id="2">
    <w:p w:rsidR="00383035" w:rsidRPr="00C65763" w:rsidRDefault="00383035" w:rsidP="00383035">
      <w:pPr>
        <w:pStyle w:val="Textonotapie"/>
        <w:jc w:val="both"/>
        <w:rPr>
          <w:rFonts w:ascii="Tahoma" w:hAnsi="Tahoma" w:cs="Tahoma"/>
          <w:sz w:val="16"/>
          <w:szCs w:val="16"/>
        </w:rPr>
      </w:pPr>
      <w:r w:rsidRPr="00C65763">
        <w:rPr>
          <w:rStyle w:val="Refdenotaalpie"/>
          <w:rFonts w:ascii="Tahoma" w:hAnsi="Tahoma" w:cs="Tahoma"/>
          <w:sz w:val="16"/>
          <w:szCs w:val="16"/>
        </w:rPr>
        <w:footnoteRef/>
      </w:r>
      <w:r w:rsidRPr="00C65763">
        <w:rPr>
          <w:rFonts w:ascii="Tahoma" w:hAnsi="Tahoma" w:cs="Tahoma"/>
          <w:sz w:val="16"/>
          <w:szCs w:val="16"/>
        </w:rPr>
        <w:t xml:space="preserve"> </w:t>
      </w:r>
      <w:r w:rsidRPr="00C65763">
        <w:rPr>
          <w:rFonts w:ascii="Tahoma" w:hAnsi="Tahoma" w:cs="Tahoma"/>
          <w:b/>
          <w:sz w:val="16"/>
          <w:szCs w:val="16"/>
        </w:rPr>
        <w:t>Artículo 294.- Causales de aplicación de sanción a los proveedores, participantes, postores y contratistas.-</w:t>
      </w:r>
      <w:r w:rsidRPr="00C65763">
        <w:rPr>
          <w:rFonts w:ascii="Tahoma" w:hAnsi="Tahoma" w:cs="Tahoma"/>
          <w:sz w:val="16"/>
          <w:szCs w:val="16"/>
        </w:rPr>
        <w:t xml:space="preserve"> El Tribunal impondrá la sanción administrativa de inhabilitación temporal o definitiva a los proveedores, postores y/o contratistas que:</w:t>
      </w:r>
    </w:p>
    <w:p w:rsidR="00383035" w:rsidRPr="00C65763" w:rsidRDefault="00383035" w:rsidP="00383035">
      <w:pPr>
        <w:pStyle w:val="Textonotapie"/>
        <w:jc w:val="both"/>
        <w:rPr>
          <w:rFonts w:ascii="Tahoma" w:hAnsi="Tahoma" w:cs="Tahoma"/>
          <w:sz w:val="16"/>
          <w:szCs w:val="16"/>
        </w:rPr>
      </w:pPr>
      <w:r w:rsidRPr="00C65763">
        <w:rPr>
          <w:rFonts w:ascii="Tahoma" w:hAnsi="Tahoma" w:cs="Tahoma"/>
          <w:sz w:val="16"/>
          <w:szCs w:val="16"/>
        </w:rPr>
        <w:t>[…]</w:t>
      </w:r>
    </w:p>
    <w:p w:rsidR="00383035" w:rsidRPr="00C65763" w:rsidRDefault="00383035" w:rsidP="00383035">
      <w:pPr>
        <w:pStyle w:val="Textonotapie"/>
        <w:jc w:val="both"/>
        <w:rPr>
          <w:rFonts w:ascii="Tahoma" w:hAnsi="Tahoma" w:cs="Tahoma"/>
          <w:sz w:val="16"/>
          <w:szCs w:val="16"/>
        </w:rPr>
      </w:pPr>
      <w:r w:rsidRPr="00C65763">
        <w:rPr>
          <w:rFonts w:ascii="Tahoma" w:hAnsi="Tahoma" w:cs="Tahoma"/>
          <w:sz w:val="16"/>
          <w:szCs w:val="16"/>
        </w:rPr>
        <w:t>9) Presenten documentos falsos o inexactos a las Entidades o al CONSUCODE.</w:t>
      </w:r>
    </w:p>
    <w:p w:rsidR="00383035" w:rsidRPr="00C65763" w:rsidRDefault="00383035" w:rsidP="00383035">
      <w:pPr>
        <w:pStyle w:val="Textonotapie"/>
        <w:jc w:val="both"/>
        <w:rPr>
          <w:rFonts w:ascii="Tahoma" w:hAnsi="Tahoma" w:cs="Tahoma"/>
          <w:sz w:val="16"/>
          <w:szCs w:val="16"/>
        </w:rPr>
      </w:pPr>
    </w:p>
  </w:footnote>
  <w:footnote w:id="3">
    <w:p w:rsidR="00383035" w:rsidRPr="002A7275" w:rsidRDefault="00383035" w:rsidP="00383035">
      <w:pPr>
        <w:pStyle w:val="Textonotapie"/>
        <w:jc w:val="both"/>
        <w:rPr>
          <w:rFonts w:ascii="Tahoma" w:hAnsi="Tahoma" w:cs="Tahoma"/>
          <w:sz w:val="14"/>
          <w:szCs w:val="14"/>
        </w:rPr>
      </w:pPr>
      <w:r w:rsidRPr="00C65763">
        <w:rPr>
          <w:rStyle w:val="Refdenotaalpie"/>
          <w:rFonts w:ascii="Tahoma" w:hAnsi="Tahoma" w:cs="Tahoma"/>
          <w:sz w:val="16"/>
          <w:szCs w:val="16"/>
        </w:rPr>
        <w:footnoteRef/>
      </w:r>
      <w:r w:rsidRPr="00C65763">
        <w:rPr>
          <w:rFonts w:ascii="Tahoma" w:hAnsi="Tahoma" w:cs="Tahoma"/>
          <w:sz w:val="16"/>
          <w:szCs w:val="16"/>
        </w:rPr>
        <w:t xml:space="preserve"> </w:t>
      </w:r>
      <w:r w:rsidRPr="00C65763">
        <w:rPr>
          <w:rFonts w:ascii="Tahoma" w:hAnsi="Tahoma" w:cs="Tahoma"/>
          <w:b/>
          <w:sz w:val="16"/>
          <w:szCs w:val="16"/>
        </w:rPr>
        <w:t>El Principio de Presunción de Veracidad</w:t>
      </w:r>
      <w:r w:rsidRPr="00C65763">
        <w:rPr>
          <w:rFonts w:ascii="Tahoma" w:hAnsi="Tahoma" w:cs="Tahoma"/>
          <w:sz w:val="16"/>
          <w:szCs w:val="16"/>
        </w:rPr>
        <w:t xml:space="preserve"> consiste en </w:t>
      </w:r>
      <w:r w:rsidRPr="00C65763">
        <w:rPr>
          <w:rFonts w:ascii="Tahoma" w:hAnsi="Tahoma" w:cs="Tahoma"/>
          <w:i/>
          <w:sz w:val="16"/>
          <w:szCs w:val="16"/>
        </w:rPr>
        <w:t>“el deber de suponer – por adelantado y con carácter provisorio – que los administrados proceden con verdad en sus actuaciones en el procedimiento que intervengan (rige tanto las relaciones de la Administración Pública con sus agentes como con el público). Sustituye la tradicional duda o escepticismo de la autoridad sobre los administrados”.</w:t>
      </w:r>
      <w:r w:rsidRPr="00C65763">
        <w:rPr>
          <w:rFonts w:ascii="Tahoma" w:hAnsi="Tahoma" w:cs="Tahoma"/>
          <w:sz w:val="16"/>
          <w:szCs w:val="16"/>
        </w:rPr>
        <w:t xml:space="preserve"> MORÓN URBINA, Juan Carlos. Comentarios a la Ley del Procedimiento Administrativo General. Cuarta Edición. Lima: Gaceta Jurídica, 2005; pp. 74 -75.</w:t>
      </w:r>
    </w:p>
  </w:footnote>
  <w:footnote w:id="4">
    <w:p w:rsidR="00383035" w:rsidRPr="00EC7B7E" w:rsidRDefault="00383035" w:rsidP="00383035">
      <w:pPr>
        <w:pStyle w:val="Textonotapie"/>
        <w:jc w:val="both"/>
        <w:rPr>
          <w:sz w:val="18"/>
          <w:szCs w:val="18"/>
        </w:rPr>
      </w:pPr>
      <w:r>
        <w:rPr>
          <w:rStyle w:val="Refdenotaalpie"/>
        </w:rPr>
        <w:footnoteRef/>
      </w:r>
      <w:r>
        <w:t xml:space="preserve"> </w:t>
      </w:r>
      <w:r w:rsidRPr="00EC7B7E">
        <w:rPr>
          <w:sz w:val="18"/>
          <w:szCs w:val="18"/>
        </w:rPr>
        <w:t xml:space="preserve">Documento obrante en el Expediente 3217-2008 (referido al recurso de apelación interpuesto por el Postor y que dio origen al expediente que nos ocupa) </w:t>
      </w:r>
    </w:p>
  </w:footnote>
  <w:footnote w:id="5">
    <w:p w:rsidR="00383035" w:rsidRPr="00EC7B7E" w:rsidRDefault="00383035" w:rsidP="00383035">
      <w:pPr>
        <w:pStyle w:val="Textonotapie"/>
        <w:jc w:val="both"/>
        <w:rPr>
          <w:sz w:val="18"/>
          <w:szCs w:val="18"/>
        </w:rPr>
      </w:pPr>
      <w:r w:rsidRPr="00EC7B7E">
        <w:rPr>
          <w:rStyle w:val="Refdenotaalpie"/>
          <w:sz w:val="18"/>
          <w:szCs w:val="18"/>
        </w:rPr>
        <w:footnoteRef/>
      </w:r>
      <w:r w:rsidRPr="00EC7B7E">
        <w:rPr>
          <w:sz w:val="18"/>
          <w:szCs w:val="18"/>
        </w:rPr>
        <w:t xml:space="preserve"> Según Carta de Compromiso de plazo de entrega de fecha 24 de julio de 2008, presentado por el Postor en su propuesta técnica (documento obrante a fojas 69 del expediente administrativo. </w:t>
      </w:r>
    </w:p>
  </w:footnote>
  <w:footnote w:id="6">
    <w:p w:rsidR="00383035" w:rsidRPr="00EC7B7E" w:rsidRDefault="00383035" w:rsidP="00383035">
      <w:pPr>
        <w:pStyle w:val="Textonotapie"/>
        <w:jc w:val="both"/>
        <w:rPr>
          <w:sz w:val="18"/>
          <w:szCs w:val="18"/>
        </w:rPr>
      </w:pPr>
      <w:r w:rsidRPr="00EC7B7E">
        <w:rPr>
          <w:rStyle w:val="Refdenotaalpie"/>
          <w:sz w:val="18"/>
          <w:szCs w:val="18"/>
        </w:rPr>
        <w:footnoteRef/>
      </w:r>
      <w:r w:rsidRPr="00EC7B7E">
        <w:rPr>
          <w:sz w:val="18"/>
          <w:szCs w:val="18"/>
        </w:rPr>
        <w:t xml:space="preserve"> Documento obrante a fojas 74 del expediente administrativo.</w:t>
      </w:r>
    </w:p>
  </w:footnote>
  <w:footnote w:id="7">
    <w:p w:rsidR="00383035" w:rsidRDefault="00383035" w:rsidP="00383035">
      <w:pPr>
        <w:pStyle w:val="Textonotapie"/>
        <w:jc w:val="both"/>
      </w:pPr>
      <w:r w:rsidRPr="00EC7B7E">
        <w:rPr>
          <w:rStyle w:val="Refdenotaalpie"/>
          <w:sz w:val="18"/>
          <w:szCs w:val="18"/>
        </w:rPr>
        <w:footnoteRef/>
      </w:r>
      <w:r w:rsidRPr="00EC7B7E">
        <w:rPr>
          <w:sz w:val="18"/>
          <w:szCs w:val="18"/>
        </w:rPr>
        <w:t xml:space="preserve"> Documento obrante a fojas 75 al 77 del expediente administrativo.</w:t>
      </w:r>
    </w:p>
  </w:footnote>
  <w:footnote w:id="8">
    <w:p w:rsidR="00383035" w:rsidRDefault="00383035" w:rsidP="00383035">
      <w:pPr>
        <w:pStyle w:val="Textonotapie"/>
        <w:rPr>
          <w:rFonts w:ascii="Tahoma" w:hAnsi="Tahoma" w:cs="Tahoma"/>
          <w:sz w:val="18"/>
          <w:szCs w:val="18"/>
        </w:rPr>
      </w:pPr>
      <w:r w:rsidRPr="008C5216">
        <w:rPr>
          <w:rStyle w:val="Refdenotaalpie"/>
          <w:rFonts w:ascii="Tahoma" w:hAnsi="Tahoma" w:cs="Tahoma"/>
          <w:sz w:val="18"/>
          <w:szCs w:val="18"/>
        </w:rPr>
        <w:footnoteRef/>
      </w:r>
      <w:r w:rsidRPr="008C5216">
        <w:rPr>
          <w:rFonts w:ascii="Tahoma" w:hAnsi="Tahoma" w:cs="Tahoma"/>
          <w:sz w:val="18"/>
          <w:szCs w:val="18"/>
        </w:rPr>
        <w:t xml:space="preserve"> MORÓN URBINA, Juan Carlos “Comentarios de la Ley del Procedimiento Administrativo General</w:t>
      </w:r>
      <w:r>
        <w:rPr>
          <w:rFonts w:ascii="Tahoma" w:hAnsi="Tahoma" w:cs="Tahoma"/>
          <w:sz w:val="18"/>
          <w:szCs w:val="18"/>
        </w:rPr>
        <w:t xml:space="preserve"> Séptima Edición. Gaceta Jurídica, Pág. 669.</w:t>
      </w:r>
    </w:p>
    <w:p w:rsidR="00383035" w:rsidRPr="008C5216" w:rsidRDefault="00383035" w:rsidP="00383035">
      <w:pPr>
        <w:pStyle w:val="Textonotapie"/>
        <w:rPr>
          <w:rFonts w:ascii="Tahoma" w:hAnsi="Tahoma" w:cs="Tahoma"/>
          <w:sz w:val="18"/>
          <w:szCs w:val="18"/>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7D75" w:rsidRDefault="00557D75" w:rsidP="00557D75">
    <w:pPr>
      <w:pStyle w:val="Encabezado"/>
      <w:rPr>
        <w:noProof/>
      </w:rPr>
    </w:pPr>
    <w:r>
      <w:rPr>
        <w:noProof/>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557D75" w:rsidRDefault="00557D75" w:rsidP="00557D75">
    <w:pPr>
      <w:pStyle w:val="Encabezado"/>
      <w:rPr>
        <w:noProof/>
      </w:rPr>
    </w:pPr>
  </w:p>
  <w:p w:rsidR="00557D75" w:rsidRDefault="00557D75" w:rsidP="00557D75">
    <w:pPr>
      <w:pStyle w:val="Encabezado"/>
      <w:rPr>
        <w:noProof/>
      </w:rPr>
    </w:pPr>
  </w:p>
  <w:p w:rsidR="00557D75" w:rsidRDefault="00557D75" w:rsidP="00557D75">
    <w:pPr>
      <w:pStyle w:val="Encabezado"/>
      <w:rPr>
        <w:noProof/>
      </w:rPr>
    </w:pPr>
  </w:p>
  <w:p w:rsidR="00557D75" w:rsidRDefault="00557D75" w:rsidP="00557D75">
    <w:pPr>
      <w:pStyle w:val="Encabezado"/>
      <w:jc w:val="center"/>
    </w:pPr>
    <w:r>
      <w:rPr>
        <w:rFonts w:ascii="Monotype Corsiva" w:hAnsi="Monotype Corsiva"/>
        <w:b/>
        <w:sz w:val="44"/>
        <w:szCs w:val="44"/>
      </w:rPr>
      <w:t xml:space="preserve">Resolución Nº   </w:t>
    </w:r>
    <w:r>
      <w:rPr>
        <w:rFonts w:ascii="Tahoma" w:hAnsi="Tahoma" w:cs="Tahoma"/>
        <w:b/>
        <w:sz w:val="44"/>
        <w:szCs w:val="44"/>
      </w:rPr>
      <w:t>820-2011-TC-S1</w:t>
    </w:r>
  </w:p>
  <w:p w:rsidR="00557D75" w:rsidRDefault="00557D75">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A3E39"/>
    <w:multiLevelType w:val="hybridMultilevel"/>
    <w:tmpl w:val="34EE19A4"/>
    <w:lvl w:ilvl="0" w:tplc="0C880FB2">
      <w:start w:val="1"/>
      <w:numFmt w:val="decimal"/>
      <w:lvlText w:val="%1."/>
      <w:lvlJc w:val="lef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048E5AC7"/>
    <w:multiLevelType w:val="hybridMultilevel"/>
    <w:tmpl w:val="5D74B5FA"/>
    <w:lvl w:ilvl="0" w:tplc="C9A2E41C">
      <w:start w:val="1"/>
      <w:numFmt w:val="decimal"/>
      <w:lvlText w:val="%1."/>
      <w:lvlJc w:val="left"/>
      <w:pPr>
        <w:tabs>
          <w:tab w:val="num" w:pos="720"/>
        </w:tabs>
        <w:ind w:left="720" w:hanging="360"/>
      </w:pPr>
      <w:rPr>
        <w:b/>
        <w:sz w:val="20"/>
        <w:szCs w:val="20"/>
        <w:lang w:val="es-ES_tradnl"/>
      </w:rPr>
    </w:lvl>
    <w:lvl w:ilvl="1" w:tplc="0C0A0001">
      <w:start w:val="1"/>
      <w:numFmt w:val="bullet"/>
      <w:lvlText w:val=""/>
      <w:lvlJc w:val="left"/>
      <w:pPr>
        <w:tabs>
          <w:tab w:val="num" w:pos="1440"/>
        </w:tabs>
        <w:ind w:left="1440" w:hanging="360"/>
      </w:pPr>
      <w:rPr>
        <w:rFonts w:ascii="Symbol" w:hAnsi="Symbol" w:hint="default"/>
      </w:rPr>
    </w:lvl>
    <w:lvl w:ilvl="2" w:tplc="45403A08">
      <w:start w:val="1"/>
      <w:numFmt w:val="lowerRoman"/>
      <w:lvlText w:val="(%3)"/>
      <w:lvlJc w:val="left"/>
      <w:pPr>
        <w:tabs>
          <w:tab w:val="num" w:pos="2700"/>
        </w:tabs>
        <w:ind w:left="2700" w:hanging="720"/>
      </w:pPr>
      <w:rPr>
        <w:rFonts w:hint="default"/>
        <w:b w:val="0"/>
      </w:rPr>
    </w:lvl>
    <w:lvl w:ilvl="3" w:tplc="F3C0B5CE">
      <w:start w:val="1"/>
      <w:numFmt w:val="decimal"/>
      <w:lvlText w:val="%4."/>
      <w:lvlJc w:val="left"/>
      <w:pPr>
        <w:tabs>
          <w:tab w:val="num" w:pos="2880"/>
        </w:tabs>
        <w:ind w:left="2880" w:hanging="360"/>
      </w:pPr>
      <w:rPr>
        <w:b/>
      </w:r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nsid w:val="04957FE5"/>
    <w:multiLevelType w:val="hybridMultilevel"/>
    <w:tmpl w:val="A1AE25D2"/>
    <w:lvl w:ilvl="0" w:tplc="A5705B54">
      <w:start w:val="1"/>
      <w:numFmt w:val="lowerRoman"/>
      <w:lvlText w:val="(%1)"/>
      <w:lvlJc w:val="left"/>
      <w:pPr>
        <w:ind w:left="720" w:hanging="360"/>
      </w:pPr>
      <w:rPr>
        <w:rFonts w:hint="default"/>
        <w:b/>
        <w:i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0BC52A45"/>
    <w:multiLevelType w:val="hybridMultilevel"/>
    <w:tmpl w:val="9E1AF476"/>
    <w:lvl w:ilvl="0" w:tplc="A782BD50">
      <w:start w:val="1"/>
      <w:numFmt w:val="decimal"/>
      <w:lvlText w:val="%1."/>
      <w:lvlJc w:val="left"/>
      <w:pPr>
        <w:tabs>
          <w:tab w:val="num" w:pos="720"/>
        </w:tabs>
        <w:ind w:left="720" w:hanging="360"/>
      </w:pPr>
      <w:rPr>
        <w:rFonts w:hint="default"/>
      </w:rPr>
    </w:lvl>
    <w:lvl w:ilvl="1" w:tplc="970E7914">
      <w:start w:val="1"/>
      <w:numFmt w:val="decimal"/>
      <w:isLgl/>
      <w:lvlText w:val="%2."/>
      <w:lvlJc w:val="left"/>
      <w:pPr>
        <w:tabs>
          <w:tab w:val="num" w:pos="720"/>
        </w:tabs>
        <w:ind w:left="720" w:hanging="360"/>
      </w:pPr>
      <w:rPr>
        <w:rFonts w:ascii="Tahoma" w:eastAsia="Times New Roman" w:hAnsi="Tahoma" w:cs="Tahoma" w:hint="default"/>
        <w:b/>
        <w:lang w:val="es-ES"/>
      </w:rPr>
    </w:lvl>
    <w:lvl w:ilvl="2" w:tplc="A454C92E">
      <w:numFmt w:val="none"/>
      <w:lvlText w:val=""/>
      <w:lvlJc w:val="left"/>
      <w:pPr>
        <w:tabs>
          <w:tab w:val="num" w:pos="360"/>
        </w:tabs>
      </w:pPr>
    </w:lvl>
    <w:lvl w:ilvl="3" w:tplc="871A521E">
      <w:numFmt w:val="none"/>
      <w:lvlText w:val=""/>
      <w:lvlJc w:val="left"/>
      <w:pPr>
        <w:tabs>
          <w:tab w:val="num" w:pos="360"/>
        </w:tabs>
      </w:pPr>
    </w:lvl>
    <w:lvl w:ilvl="4" w:tplc="C20494B0">
      <w:numFmt w:val="none"/>
      <w:lvlText w:val=""/>
      <w:lvlJc w:val="left"/>
      <w:pPr>
        <w:tabs>
          <w:tab w:val="num" w:pos="360"/>
        </w:tabs>
      </w:pPr>
    </w:lvl>
    <w:lvl w:ilvl="5" w:tplc="907EB3E4">
      <w:numFmt w:val="none"/>
      <w:lvlText w:val=""/>
      <w:lvlJc w:val="left"/>
      <w:pPr>
        <w:tabs>
          <w:tab w:val="num" w:pos="360"/>
        </w:tabs>
      </w:pPr>
    </w:lvl>
    <w:lvl w:ilvl="6" w:tplc="A866F88C">
      <w:numFmt w:val="none"/>
      <w:lvlText w:val=""/>
      <w:lvlJc w:val="left"/>
      <w:pPr>
        <w:tabs>
          <w:tab w:val="num" w:pos="360"/>
        </w:tabs>
      </w:pPr>
    </w:lvl>
    <w:lvl w:ilvl="7" w:tplc="977E2C6E">
      <w:numFmt w:val="none"/>
      <w:lvlText w:val=""/>
      <w:lvlJc w:val="left"/>
      <w:pPr>
        <w:tabs>
          <w:tab w:val="num" w:pos="360"/>
        </w:tabs>
      </w:pPr>
    </w:lvl>
    <w:lvl w:ilvl="8" w:tplc="C060BC32">
      <w:numFmt w:val="none"/>
      <w:lvlText w:val=""/>
      <w:lvlJc w:val="left"/>
      <w:pPr>
        <w:tabs>
          <w:tab w:val="num" w:pos="360"/>
        </w:tabs>
      </w:pPr>
    </w:lvl>
  </w:abstractNum>
  <w:abstractNum w:abstractNumId="4">
    <w:nsid w:val="0D89661A"/>
    <w:multiLevelType w:val="hybridMultilevel"/>
    <w:tmpl w:val="535C76B8"/>
    <w:lvl w:ilvl="0" w:tplc="F4029CC2">
      <w:start w:val="1"/>
      <w:numFmt w:val="decimal"/>
      <w:lvlText w:val="%1."/>
      <w:lvlJc w:val="left"/>
      <w:pPr>
        <w:tabs>
          <w:tab w:val="num" w:pos="454"/>
        </w:tabs>
        <w:ind w:left="454" w:hanging="454"/>
      </w:pPr>
      <w:rPr>
        <w:rFonts w:ascii="Tahoma" w:hAnsi="Tahoma" w:cs="Tahoma" w:hint="default"/>
        <w:b/>
        <w:i w:val="0"/>
        <w:shadow w:val="0"/>
        <w:emboss w:val="0"/>
        <w:imprint w:val="0"/>
        <w:color w:val="auto"/>
        <w:sz w:val="20"/>
        <w:szCs w:val="20"/>
        <w:u w:color="FFFFFF"/>
        <w:effect w:val="none"/>
        <w:lang w:val="es-ES"/>
      </w:rPr>
    </w:lvl>
    <w:lvl w:ilvl="1" w:tplc="70F2732C">
      <w:start w:val="1"/>
      <w:numFmt w:val="lowerLetter"/>
      <w:lvlText w:val="%2."/>
      <w:lvlJc w:val="left"/>
      <w:pPr>
        <w:tabs>
          <w:tab w:val="num" w:pos="1440"/>
        </w:tabs>
        <w:ind w:left="1440" w:hanging="360"/>
      </w:pPr>
      <w:rPr>
        <w:sz w:val="22"/>
        <w:szCs w:val="22"/>
      </w:rPr>
    </w:lvl>
    <w:lvl w:ilvl="2" w:tplc="B1187586">
      <w:start w:val="1"/>
      <w:numFmt w:val="lowerRoman"/>
      <w:lvlText w:val="(%3)"/>
      <w:lvlJc w:val="left"/>
      <w:pPr>
        <w:tabs>
          <w:tab w:val="num" w:pos="2700"/>
        </w:tabs>
        <w:ind w:left="2700" w:hanging="720"/>
      </w:pPr>
      <w:rPr>
        <w:rFonts w:hint="default"/>
        <w:b/>
        <w:sz w:val="22"/>
        <w:szCs w:val="22"/>
      </w:rPr>
    </w:lvl>
    <w:lvl w:ilvl="3" w:tplc="08F29F02">
      <w:start w:val="1"/>
      <w:numFmt w:val="lowerRoman"/>
      <w:lvlText w:val="%4)"/>
      <w:lvlJc w:val="left"/>
      <w:pPr>
        <w:tabs>
          <w:tab w:val="num" w:pos="3240"/>
        </w:tabs>
        <w:ind w:left="3240" w:hanging="720"/>
      </w:pPr>
      <w:rPr>
        <w:rFonts w:hint="default"/>
      </w:r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nsid w:val="0F112858"/>
    <w:multiLevelType w:val="hybridMultilevel"/>
    <w:tmpl w:val="F51E3CDA"/>
    <w:lvl w:ilvl="0" w:tplc="E64EEB66">
      <w:start w:val="1"/>
      <w:numFmt w:val="decimal"/>
      <w:lvlText w:val="%1."/>
      <w:lvlJc w:val="left"/>
      <w:pPr>
        <w:tabs>
          <w:tab w:val="num" w:pos="1068"/>
        </w:tabs>
        <w:ind w:left="1068" w:hanging="360"/>
      </w:pPr>
      <w:rPr>
        <w:rFonts w:ascii="Tahoma" w:hAnsi="Tahoma" w:cs="Times New Roman" w:hint="default"/>
        <w:b/>
        <w:i w:val="0"/>
        <w:shadow/>
        <w:sz w:val="20"/>
        <w:szCs w:val="20"/>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6">
    <w:nsid w:val="10112248"/>
    <w:multiLevelType w:val="hybridMultilevel"/>
    <w:tmpl w:val="06621EA4"/>
    <w:lvl w:ilvl="0" w:tplc="A7C0195A">
      <w:start w:val="3"/>
      <w:numFmt w:val="bullet"/>
      <w:lvlText w:val="-"/>
      <w:lvlJc w:val="left"/>
      <w:pPr>
        <w:ind w:left="720" w:hanging="360"/>
      </w:pPr>
      <w:rPr>
        <w:rFonts w:ascii="Tahoma" w:eastAsia="Times New Roman" w:hAnsi="Tahoma" w:cs="Tahoma"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111A3AFC"/>
    <w:multiLevelType w:val="singleLevel"/>
    <w:tmpl w:val="F49CA2BE"/>
    <w:lvl w:ilvl="0">
      <w:start w:val="5"/>
      <w:numFmt w:val="decimal"/>
      <w:lvlText w:val="%1."/>
      <w:legacy w:legacy="1" w:legacySpace="0" w:legacyIndent="360"/>
      <w:lvlJc w:val="left"/>
      <w:rPr>
        <w:rFonts w:ascii="Tahoma" w:hAnsi="Tahoma" w:cs="Tahoma" w:hint="default"/>
        <w:b/>
        <w:sz w:val="23"/>
        <w:szCs w:val="23"/>
      </w:rPr>
    </w:lvl>
  </w:abstractNum>
  <w:abstractNum w:abstractNumId="8">
    <w:nsid w:val="128818F7"/>
    <w:multiLevelType w:val="hybridMultilevel"/>
    <w:tmpl w:val="F1ACD746"/>
    <w:lvl w:ilvl="0" w:tplc="4CF25F22">
      <w:start w:val="3"/>
      <w:numFmt w:val="low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nsid w:val="27E709E4"/>
    <w:multiLevelType w:val="hybridMultilevel"/>
    <w:tmpl w:val="4AC28740"/>
    <w:lvl w:ilvl="0" w:tplc="B8E6CAF2">
      <w:start w:val="1"/>
      <w:numFmt w:val="lowerRoman"/>
      <w:lvlText w:val="%1)"/>
      <w:lvlJc w:val="left"/>
      <w:pPr>
        <w:ind w:left="3280" w:hanging="360"/>
      </w:pPr>
      <w:rPr>
        <w:rFonts w:hint="default"/>
        <w:b/>
      </w:rPr>
    </w:lvl>
    <w:lvl w:ilvl="1" w:tplc="0C0A0019" w:tentative="1">
      <w:start w:val="1"/>
      <w:numFmt w:val="lowerLetter"/>
      <w:lvlText w:val="%2."/>
      <w:lvlJc w:val="left"/>
      <w:pPr>
        <w:ind w:left="4000" w:hanging="360"/>
      </w:pPr>
    </w:lvl>
    <w:lvl w:ilvl="2" w:tplc="0C0A001B" w:tentative="1">
      <w:start w:val="1"/>
      <w:numFmt w:val="lowerRoman"/>
      <w:lvlText w:val="%3."/>
      <w:lvlJc w:val="right"/>
      <w:pPr>
        <w:ind w:left="4720" w:hanging="180"/>
      </w:pPr>
    </w:lvl>
    <w:lvl w:ilvl="3" w:tplc="0C0A000F" w:tentative="1">
      <w:start w:val="1"/>
      <w:numFmt w:val="decimal"/>
      <w:lvlText w:val="%4."/>
      <w:lvlJc w:val="left"/>
      <w:pPr>
        <w:ind w:left="5440" w:hanging="360"/>
      </w:pPr>
    </w:lvl>
    <w:lvl w:ilvl="4" w:tplc="0C0A0019" w:tentative="1">
      <w:start w:val="1"/>
      <w:numFmt w:val="lowerLetter"/>
      <w:lvlText w:val="%5."/>
      <w:lvlJc w:val="left"/>
      <w:pPr>
        <w:ind w:left="6160" w:hanging="360"/>
      </w:pPr>
    </w:lvl>
    <w:lvl w:ilvl="5" w:tplc="0C0A001B" w:tentative="1">
      <w:start w:val="1"/>
      <w:numFmt w:val="lowerRoman"/>
      <w:lvlText w:val="%6."/>
      <w:lvlJc w:val="right"/>
      <w:pPr>
        <w:ind w:left="6880" w:hanging="180"/>
      </w:pPr>
    </w:lvl>
    <w:lvl w:ilvl="6" w:tplc="0C0A000F" w:tentative="1">
      <w:start w:val="1"/>
      <w:numFmt w:val="decimal"/>
      <w:lvlText w:val="%7."/>
      <w:lvlJc w:val="left"/>
      <w:pPr>
        <w:ind w:left="7600" w:hanging="360"/>
      </w:pPr>
    </w:lvl>
    <w:lvl w:ilvl="7" w:tplc="0C0A0019" w:tentative="1">
      <w:start w:val="1"/>
      <w:numFmt w:val="lowerLetter"/>
      <w:lvlText w:val="%8."/>
      <w:lvlJc w:val="left"/>
      <w:pPr>
        <w:ind w:left="8320" w:hanging="360"/>
      </w:pPr>
    </w:lvl>
    <w:lvl w:ilvl="8" w:tplc="0C0A001B" w:tentative="1">
      <w:start w:val="1"/>
      <w:numFmt w:val="lowerRoman"/>
      <w:lvlText w:val="%9."/>
      <w:lvlJc w:val="right"/>
      <w:pPr>
        <w:ind w:left="9040" w:hanging="180"/>
      </w:pPr>
    </w:lvl>
  </w:abstractNum>
  <w:abstractNum w:abstractNumId="10">
    <w:nsid w:val="2E720AC6"/>
    <w:multiLevelType w:val="hybridMultilevel"/>
    <w:tmpl w:val="84D2FE7E"/>
    <w:lvl w:ilvl="0" w:tplc="E030217E">
      <w:start w:val="1"/>
      <w:numFmt w:val="decimal"/>
      <w:lvlText w:val="%1."/>
      <w:lvlJc w:val="left"/>
      <w:pPr>
        <w:tabs>
          <w:tab w:val="num" w:pos="8100"/>
        </w:tabs>
        <w:ind w:left="8100" w:hanging="360"/>
      </w:pPr>
      <w:rPr>
        <w:rFonts w:hint="default"/>
        <w:b/>
        <w:sz w:val="20"/>
        <w:szCs w:val="20"/>
      </w:rPr>
    </w:lvl>
    <w:lvl w:ilvl="1" w:tplc="0C0A0019" w:tentative="1">
      <w:start w:val="1"/>
      <w:numFmt w:val="lowerLetter"/>
      <w:lvlText w:val="%2."/>
      <w:lvlJc w:val="left"/>
      <w:pPr>
        <w:tabs>
          <w:tab w:val="num" w:pos="8820"/>
        </w:tabs>
        <w:ind w:left="8820" w:hanging="360"/>
      </w:pPr>
    </w:lvl>
    <w:lvl w:ilvl="2" w:tplc="0C0A001B" w:tentative="1">
      <w:start w:val="1"/>
      <w:numFmt w:val="lowerRoman"/>
      <w:lvlText w:val="%3."/>
      <w:lvlJc w:val="right"/>
      <w:pPr>
        <w:tabs>
          <w:tab w:val="num" w:pos="9540"/>
        </w:tabs>
        <w:ind w:left="9540" w:hanging="180"/>
      </w:pPr>
    </w:lvl>
    <w:lvl w:ilvl="3" w:tplc="0C0A000F" w:tentative="1">
      <w:start w:val="1"/>
      <w:numFmt w:val="decimal"/>
      <w:lvlText w:val="%4."/>
      <w:lvlJc w:val="left"/>
      <w:pPr>
        <w:tabs>
          <w:tab w:val="num" w:pos="10260"/>
        </w:tabs>
        <w:ind w:left="10260" w:hanging="360"/>
      </w:pPr>
    </w:lvl>
    <w:lvl w:ilvl="4" w:tplc="0C0A0019" w:tentative="1">
      <w:start w:val="1"/>
      <w:numFmt w:val="lowerLetter"/>
      <w:lvlText w:val="%5."/>
      <w:lvlJc w:val="left"/>
      <w:pPr>
        <w:tabs>
          <w:tab w:val="num" w:pos="10980"/>
        </w:tabs>
        <w:ind w:left="10980" w:hanging="360"/>
      </w:pPr>
    </w:lvl>
    <w:lvl w:ilvl="5" w:tplc="0C0A001B" w:tentative="1">
      <w:start w:val="1"/>
      <w:numFmt w:val="lowerRoman"/>
      <w:lvlText w:val="%6."/>
      <w:lvlJc w:val="right"/>
      <w:pPr>
        <w:tabs>
          <w:tab w:val="num" w:pos="11700"/>
        </w:tabs>
        <w:ind w:left="11700" w:hanging="180"/>
      </w:pPr>
    </w:lvl>
    <w:lvl w:ilvl="6" w:tplc="0C0A000F" w:tentative="1">
      <w:start w:val="1"/>
      <w:numFmt w:val="decimal"/>
      <w:lvlText w:val="%7."/>
      <w:lvlJc w:val="left"/>
      <w:pPr>
        <w:tabs>
          <w:tab w:val="num" w:pos="12420"/>
        </w:tabs>
        <w:ind w:left="12420" w:hanging="360"/>
      </w:pPr>
    </w:lvl>
    <w:lvl w:ilvl="7" w:tplc="0C0A0019" w:tentative="1">
      <w:start w:val="1"/>
      <w:numFmt w:val="lowerLetter"/>
      <w:lvlText w:val="%8."/>
      <w:lvlJc w:val="left"/>
      <w:pPr>
        <w:tabs>
          <w:tab w:val="num" w:pos="13140"/>
        </w:tabs>
        <w:ind w:left="13140" w:hanging="360"/>
      </w:pPr>
    </w:lvl>
    <w:lvl w:ilvl="8" w:tplc="0C0A001B" w:tentative="1">
      <w:start w:val="1"/>
      <w:numFmt w:val="lowerRoman"/>
      <w:lvlText w:val="%9."/>
      <w:lvlJc w:val="right"/>
      <w:pPr>
        <w:tabs>
          <w:tab w:val="num" w:pos="13860"/>
        </w:tabs>
        <w:ind w:left="13860" w:hanging="180"/>
      </w:pPr>
    </w:lvl>
  </w:abstractNum>
  <w:abstractNum w:abstractNumId="11">
    <w:nsid w:val="37BB3AA8"/>
    <w:multiLevelType w:val="hybridMultilevel"/>
    <w:tmpl w:val="7ADCD1EA"/>
    <w:lvl w:ilvl="0" w:tplc="BA7A8036">
      <w:start w:val="1"/>
      <w:numFmt w:val="lowerRoman"/>
      <w:lvlText w:val="%1."/>
      <w:lvlJc w:val="right"/>
      <w:pPr>
        <w:ind w:left="1174" w:hanging="360"/>
      </w:pPr>
      <w:rPr>
        <w:b/>
      </w:rPr>
    </w:lvl>
    <w:lvl w:ilvl="1" w:tplc="0C0A0019" w:tentative="1">
      <w:start w:val="1"/>
      <w:numFmt w:val="lowerLetter"/>
      <w:lvlText w:val="%2."/>
      <w:lvlJc w:val="left"/>
      <w:pPr>
        <w:ind w:left="1894" w:hanging="360"/>
      </w:pPr>
    </w:lvl>
    <w:lvl w:ilvl="2" w:tplc="0C0A001B" w:tentative="1">
      <w:start w:val="1"/>
      <w:numFmt w:val="lowerRoman"/>
      <w:lvlText w:val="%3."/>
      <w:lvlJc w:val="right"/>
      <w:pPr>
        <w:ind w:left="2614" w:hanging="180"/>
      </w:pPr>
    </w:lvl>
    <w:lvl w:ilvl="3" w:tplc="0C0A000F" w:tentative="1">
      <w:start w:val="1"/>
      <w:numFmt w:val="decimal"/>
      <w:lvlText w:val="%4."/>
      <w:lvlJc w:val="left"/>
      <w:pPr>
        <w:ind w:left="3334" w:hanging="360"/>
      </w:pPr>
    </w:lvl>
    <w:lvl w:ilvl="4" w:tplc="0C0A0019" w:tentative="1">
      <w:start w:val="1"/>
      <w:numFmt w:val="lowerLetter"/>
      <w:lvlText w:val="%5."/>
      <w:lvlJc w:val="left"/>
      <w:pPr>
        <w:ind w:left="4054" w:hanging="360"/>
      </w:pPr>
    </w:lvl>
    <w:lvl w:ilvl="5" w:tplc="0C0A001B" w:tentative="1">
      <w:start w:val="1"/>
      <w:numFmt w:val="lowerRoman"/>
      <w:lvlText w:val="%6."/>
      <w:lvlJc w:val="right"/>
      <w:pPr>
        <w:ind w:left="4774" w:hanging="180"/>
      </w:pPr>
    </w:lvl>
    <w:lvl w:ilvl="6" w:tplc="0C0A000F" w:tentative="1">
      <w:start w:val="1"/>
      <w:numFmt w:val="decimal"/>
      <w:lvlText w:val="%7."/>
      <w:lvlJc w:val="left"/>
      <w:pPr>
        <w:ind w:left="5494" w:hanging="360"/>
      </w:pPr>
    </w:lvl>
    <w:lvl w:ilvl="7" w:tplc="0C0A0019" w:tentative="1">
      <w:start w:val="1"/>
      <w:numFmt w:val="lowerLetter"/>
      <w:lvlText w:val="%8."/>
      <w:lvlJc w:val="left"/>
      <w:pPr>
        <w:ind w:left="6214" w:hanging="360"/>
      </w:pPr>
    </w:lvl>
    <w:lvl w:ilvl="8" w:tplc="0C0A001B" w:tentative="1">
      <w:start w:val="1"/>
      <w:numFmt w:val="lowerRoman"/>
      <w:lvlText w:val="%9."/>
      <w:lvlJc w:val="right"/>
      <w:pPr>
        <w:ind w:left="6934" w:hanging="180"/>
      </w:pPr>
    </w:lvl>
  </w:abstractNum>
  <w:abstractNum w:abstractNumId="12">
    <w:nsid w:val="3B7B237C"/>
    <w:multiLevelType w:val="hybridMultilevel"/>
    <w:tmpl w:val="012444D4"/>
    <w:lvl w:ilvl="0" w:tplc="F5C055C0">
      <w:start w:val="1"/>
      <w:numFmt w:val="decimal"/>
      <w:lvlText w:val="%1."/>
      <w:lvlJc w:val="left"/>
      <w:pPr>
        <w:tabs>
          <w:tab w:val="num" w:pos="720"/>
        </w:tabs>
        <w:ind w:left="720" w:hanging="360"/>
      </w:pPr>
      <w:rPr>
        <w:b/>
      </w:rPr>
    </w:lvl>
    <w:lvl w:ilvl="1" w:tplc="0C0A0019">
      <w:start w:val="1"/>
      <w:numFmt w:val="lowerLetter"/>
      <w:lvlText w:val="%2."/>
      <w:lvlJc w:val="left"/>
      <w:pPr>
        <w:tabs>
          <w:tab w:val="num" w:pos="1440"/>
        </w:tabs>
        <w:ind w:left="1440" w:hanging="360"/>
      </w:pPr>
    </w:lvl>
    <w:lvl w:ilvl="2" w:tplc="709221C6">
      <w:start w:val="1"/>
      <w:numFmt w:val="lowerLetter"/>
      <w:lvlText w:val="%3)"/>
      <w:lvlJc w:val="left"/>
      <w:pPr>
        <w:tabs>
          <w:tab w:val="num" w:pos="2340"/>
        </w:tabs>
        <w:ind w:left="2340" w:hanging="360"/>
      </w:pPr>
      <w:rPr>
        <w:rFonts w:hint="default"/>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3">
    <w:nsid w:val="44E306A8"/>
    <w:multiLevelType w:val="hybridMultilevel"/>
    <w:tmpl w:val="3A32E608"/>
    <w:lvl w:ilvl="0" w:tplc="4A1C6E70">
      <w:start w:val="1"/>
      <w:numFmt w:val="decimal"/>
      <w:lvlText w:val="%1."/>
      <w:lvlJc w:val="left"/>
      <w:pPr>
        <w:ind w:left="1287" w:hanging="360"/>
      </w:pPr>
      <w:rPr>
        <w:b/>
      </w:r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14">
    <w:nsid w:val="452C5B89"/>
    <w:multiLevelType w:val="hybridMultilevel"/>
    <w:tmpl w:val="3940A9BE"/>
    <w:lvl w:ilvl="0" w:tplc="5246B6C8">
      <w:start w:val="1"/>
      <w:numFmt w:val="lowerRoman"/>
      <w:lvlText w:val="%1."/>
      <w:lvlJc w:val="right"/>
      <w:pPr>
        <w:ind w:left="1440" w:hanging="360"/>
      </w:pPr>
      <w:rPr>
        <w:b/>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15">
    <w:nsid w:val="47C06653"/>
    <w:multiLevelType w:val="singleLevel"/>
    <w:tmpl w:val="F49CA2BE"/>
    <w:lvl w:ilvl="0">
      <w:start w:val="5"/>
      <w:numFmt w:val="decimal"/>
      <w:lvlText w:val="%1."/>
      <w:legacy w:legacy="1" w:legacySpace="0" w:legacyIndent="360"/>
      <w:lvlJc w:val="left"/>
      <w:rPr>
        <w:rFonts w:ascii="Tahoma" w:hAnsi="Tahoma" w:cs="Tahoma" w:hint="default"/>
        <w:b/>
        <w:sz w:val="23"/>
        <w:szCs w:val="23"/>
      </w:rPr>
    </w:lvl>
  </w:abstractNum>
  <w:abstractNum w:abstractNumId="16">
    <w:nsid w:val="490628FE"/>
    <w:multiLevelType w:val="hybridMultilevel"/>
    <w:tmpl w:val="5A5AAEA8"/>
    <w:lvl w:ilvl="0" w:tplc="EFB20A9A">
      <w:start w:val="1"/>
      <w:numFmt w:val="decimal"/>
      <w:lvlText w:val="%1."/>
      <w:lvlJc w:val="left"/>
      <w:pPr>
        <w:tabs>
          <w:tab w:val="num" w:pos="720"/>
        </w:tabs>
        <w:ind w:left="720" w:hanging="360"/>
      </w:pPr>
      <w:rPr>
        <w:b/>
      </w:rPr>
    </w:lvl>
    <w:lvl w:ilvl="1" w:tplc="0C0A0019" w:tentative="1">
      <w:start w:val="1"/>
      <w:numFmt w:val="lowerLetter"/>
      <w:lvlText w:val="%2."/>
      <w:lvlJc w:val="left"/>
      <w:pPr>
        <w:tabs>
          <w:tab w:val="num" w:pos="1800"/>
        </w:tabs>
        <w:ind w:left="1800" w:hanging="360"/>
      </w:pPr>
    </w:lvl>
    <w:lvl w:ilvl="2" w:tplc="0C0A001B" w:tentative="1">
      <w:start w:val="1"/>
      <w:numFmt w:val="lowerRoman"/>
      <w:lvlText w:val="%3."/>
      <w:lvlJc w:val="right"/>
      <w:pPr>
        <w:tabs>
          <w:tab w:val="num" w:pos="2520"/>
        </w:tabs>
        <w:ind w:left="2520" w:hanging="180"/>
      </w:pPr>
    </w:lvl>
    <w:lvl w:ilvl="3" w:tplc="0C0A000F" w:tentative="1">
      <w:start w:val="1"/>
      <w:numFmt w:val="decimal"/>
      <w:lvlText w:val="%4."/>
      <w:lvlJc w:val="left"/>
      <w:pPr>
        <w:tabs>
          <w:tab w:val="num" w:pos="3240"/>
        </w:tabs>
        <w:ind w:left="3240" w:hanging="360"/>
      </w:pPr>
    </w:lvl>
    <w:lvl w:ilvl="4" w:tplc="0C0A0019" w:tentative="1">
      <w:start w:val="1"/>
      <w:numFmt w:val="lowerLetter"/>
      <w:lvlText w:val="%5."/>
      <w:lvlJc w:val="left"/>
      <w:pPr>
        <w:tabs>
          <w:tab w:val="num" w:pos="3960"/>
        </w:tabs>
        <w:ind w:left="3960" w:hanging="360"/>
      </w:pPr>
    </w:lvl>
    <w:lvl w:ilvl="5" w:tplc="0C0A001B" w:tentative="1">
      <w:start w:val="1"/>
      <w:numFmt w:val="lowerRoman"/>
      <w:lvlText w:val="%6."/>
      <w:lvlJc w:val="right"/>
      <w:pPr>
        <w:tabs>
          <w:tab w:val="num" w:pos="4680"/>
        </w:tabs>
        <w:ind w:left="4680" w:hanging="180"/>
      </w:p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17">
    <w:nsid w:val="568D15DF"/>
    <w:multiLevelType w:val="hybridMultilevel"/>
    <w:tmpl w:val="A1DC23A4"/>
    <w:lvl w:ilvl="0" w:tplc="0C0A0019">
      <w:start w:val="1"/>
      <w:numFmt w:val="lowerLetter"/>
      <w:lvlText w:val="%1."/>
      <w:lvlJc w:val="left"/>
      <w:pPr>
        <w:ind w:left="1120" w:hanging="360"/>
      </w:pPr>
    </w:lvl>
    <w:lvl w:ilvl="1" w:tplc="0C0A0019" w:tentative="1">
      <w:start w:val="1"/>
      <w:numFmt w:val="lowerLetter"/>
      <w:lvlText w:val="%2."/>
      <w:lvlJc w:val="left"/>
      <w:pPr>
        <w:ind w:left="1840" w:hanging="360"/>
      </w:pPr>
    </w:lvl>
    <w:lvl w:ilvl="2" w:tplc="0C0A001B" w:tentative="1">
      <w:start w:val="1"/>
      <w:numFmt w:val="lowerRoman"/>
      <w:lvlText w:val="%3."/>
      <w:lvlJc w:val="right"/>
      <w:pPr>
        <w:ind w:left="2560" w:hanging="180"/>
      </w:pPr>
    </w:lvl>
    <w:lvl w:ilvl="3" w:tplc="0C0A000F" w:tentative="1">
      <w:start w:val="1"/>
      <w:numFmt w:val="decimal"/>
      <w:lvlText w:val="%4."/>
      <w:lvlJc w:val="left"/>
      <w:pPr>
        <w:ind w:left="3280" w:hanging="360"/>
      </w:pPr>
    </w:lvl>
    <w:lvl w:ilvl="4" w:tplc="0C0A0019" w:tentative="1">
      <w:start w:val="1"/>
      <w:numFmt w:val="lowerLetter"/>
      <w:lvlText w:val="%5."/>
      <w:lvlJc w:val="left"/>
      <w:pPr>
        <w:ind w:left="4000" w:hanging="360"/>
      </w:pPr>
    </w:lvl>
    <w:lvl w:ilvl="5" w:tplc="0C0A001B" w:tentative="1">
      <w:start w:val="1"/>
      <w:numFmt w:val="lowerRoman"/>
      <w:lvlText w:val="%6."/>
      <w:lvlJc w:val="right"/>
      <w:pPr>
        <w:ind w:left="4720" w:hanging="180"/>
      </w:pPr>
    </w:lvl>
    <w:lvl w:ilvl="6" w:tplc="0C0A000F" w:tentative="1">
      <w:start w:val="1"/>
      <w:numFmt w:val="decimal"/>
      <w:lvlText w:val="%7."/>
      <w:lvlJc w:val="left"/>
      <w:pPr>
        <w:ind w:left="5440" w:hanging="360"/>
      </w:pPr>
    </w:lvl>
    <w:lvl w:ilvl="7" w:tplc="0C0A0019" w:tentative="1">
      <w:start w:val="1"/>
      <w:numFmt w:val="lowerLetter"/>
      <w:lvlText w:val="%8."/>
      <w:lvlJc w:val="left"/>
      <w:pPr>
        <w:ind w:left="6160" w:hanging="360"/>
      </w:pPr>
    </w:lvl>
    <w:lvl w:ilvl="8" w:tplc="0C0A001B" w:tentative="1">
      <w:start w:val="1"/>
      <w:numFmt w:val="lowerRoman"/>
      <w:lvlText w:val="%9."/>
      <w:lvlJc w:val="right"/>
      <w:pPr>
        <w:ind w:left="6880" w:hanging="180"/>
      </w:pPr>
    </w:lvl>
  </w:abstractNum>
  <w:abstractNum w:abstractNumId="18">
    <w:nsid w:val="5E1931F5"/>
    <w:multiLevelType w:val="hybridMultilevel"/>
    <w:tmpl w:val="D41CE2DC"/>
    <w:lvl w:ilvl="0" w:tplc="BD609598">
      <w:start w:val="1"/>
      <w:numFmt w:val="decimal"/>
      <w:lvlText w:val="%1."/>
      <w:lvlJc w:val="left"/>
      <w:pPr>
        <w:tabs>
          <w:tab w:val="num" w:pos="360"/>
        </w:tabs>
        <w:ind w:left="360" w:hanging="360"/>
      </w:pPr>
      <w:rPr>
        <w:rFonts w:ascii="Tahoma" w:hAnsi="Tahoma" w:cs="Tahoma" w:hint="default"/>
        <w:b/>
        <w:sz w:val="20"/>
        <w:szCs w:val="20"/>
      </w:rPr>
    </w:lvl>
    <w:lvl w:ilvl="1" w:tplc="23EEA8BE">
      <w:start w:val="12"/>
      <w:numFmt w:val="decimal"/>
      <w:lvlText w:val="%2."/>
      <w:lvlJc w:val="left"/>
      <w:pPr>
        <w:tabs>
          <w:tab w:val="num" w:pos="1440"/>
        </w:tabs>
        <w:ind w:left="1440" w:hanging="360"/>
      </w:pPr>
      <w:rPr>
        <w:rFonts w:hint="default"/>
        <w:b/>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9">
    <w:nsid w:val="61862456"/>
    <w:multiLevelType w:val="hybridMultilevel"/>
    <w:tmpl w:val="2532449A"/>
    <w:lvl w:ilvl="0" w:tplc="417248C0">
      <w:start w:val="1"/>
      <w:numFmt w:val="decimal"/>
      <w:lvlText w:val="%1."/>
      <w:lvlJc w:val="left"/>
      <w:pPr>
        <w:tabs>
          <w:tab w:val="num" w:pos="360"/>
        </w:tabs>
        <w:ind w:left="360" w:hanging="360"/>
      </w:pPr>
      <w:rPr>
        <w:b/>
      </w:rPr>
    </w:lvl>
    <w:lvl w:ilvl="1" w:tplc="0C0A0001">
      <w:start w:val="1"/>
      <w:numFmt w:val="bullet"/>
      <w:lvlText w:val=""/>
      <w:lvlJc w:val="left"/>
      <w:pPr>
        <w:tabs>
          <w:tab w:val="num" w:pos="1080"/>
        </w:tabs>
        <w:ind w:left="1080" w:hanging="360"/>
      </w:pPr>
      <w:rPr>
        <w:rFonts w:ascii="Symbol" w:hAnsi="Symbol" w:hint="default"/>
        <w:b w:val="0"/>
      </w:rPr>
    </w:lvl>
    <w:lvl w:ilvl="2" w:tplc="0C0A001B" w:tentative="1">
      <w:start w:val="1"/>
      <w:numFmt w:val="lowerRoman"/>
      <w:lvlText w:val="%3."/>
      <w:lvlJc w:val="right"/>
      <w:pPr>
        <w:tabs>
          <w:tab w:val="num" w:pos="1800"/>
        </w:tabs>
        <w:ind w:left="1800" w:hanging="180"/>
      </w:pPr>
    </w:lvl>
    <w:lvl w:ilvl="3" w:tplc="0C0A000F">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20">
    <w:nsid w:val="6722597F"/>
    <w:multiLevelType w:val="hybridMultilevel"/>
    <w:tmpl w:val="AF6EBD46"/>
    <w:lvl w:ilvl="0" w:tplc="522A75B8">
      <w:start w:val="1"/>
      <w:numFmt w:val="decimal"/>
      <w:lvlText w:val="%1."/>
      <w:lvlJc w:val="left"/>
      <w:pPr>
        <w:ind w:left="720" w:hanging="360"/>
      </w:pPr>
      <w:rPr>
        <w:b/>
        <w:shadow w:val="0"/>
        <w:sz w:val="24"/>
        <w:szCs w:val="24"/>
      </w:rPr>
    </w:lvl>
    <w:lvl w:ilvl="1" w:tplc="3D94CC94">
      <w:start w:val="1"/>
      <w:numFmt w:val="decimal"/>
      <w:lvlText w:val="%2."/>
      <w:lvlJc w:val="left"/>
      <w:pPr>
        <w:tabs>
          <w:tab w:val="num" w:pos="1440"/>
        </w:tabs>
        <w:ind w:left="1440" w:hanging="360"/>
      </w:pPr>
      <w:rPr>
        <w:b/>
        <w:shadow w:val="0"/>
        <w:sz w:val="24"/>
        <w:szCs w:val="24"/>
      </w:rPr>
    </w:lvl>
    <w:lvl w:ilvl="2" w:tplc="BF607EF6">
      <w:start w:val="5"/>
      <w:numFmt w:val="upperLetter"/>
      <w:lvlText w:val="%3."/>
      <w:lvlJc w:val="left"/>
      <w:pPr>
        <w:tabs>
          <w:tab w:val="num" w:pos="2340"/>
        </w:tabs>
        <w:ind w:left="2340" w:hanging="360"/>
      </w:pPr>
      <w:rPr>
        <w:rFonts w:hint="default"/>
        <w:sz w:val="24"/>
        <w:szCs w:val="24"/>
      </w:rPr>
    </w:lvl>
    <w:lvl w:ilvl="3" w:tplc="0ADE54CC">
      <w:start w:val="1"/>
      <w:numFmt w:val="lowerLetter"/>
      <w:lvlText w:val="%4."/>
      <w:lvlJc w:val="left"/>
      <w:pPr>
        <w:ind w:left="2880" w:hanging="360"/>
      </w:pPr>
      <w:rPr>
        <w:rFonts w:hint="default"/>
        <w:b/>
      </w:rPr>
    </w:lvl>
    <w:lvl w:ilvl="4" w:tplc="B7E2CC06">
      <w:start w:val="1"/>
      <w:numFmt w:val="lowerRoman"/>
      <w:lvlText w:val="(%5)"/>
      <w:lvlJc w:val="left"/>
      <w:pPr>
        <w:ind w:left="3960" w:hanging="720"/>
      </w:pPr>
      <w:rPr>
        <w:rFonts w:hint="default"/>
      </w:r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nsid w:val="6EA50FF8"/>
    <w:multiLevelType w:val="hybridMultilevel"/>
    <w:tmpl w:val="942E561C"/>
    <w:lvl w:ilvl="0" w:tplc="F1AC1BBE">
      <w:start w:val="1"/>
      <w:numFmt w:val="decimal"/>
      <w:lvlText w:val="%1."/>
      <w:lvlJc w:val="right"/>
      <w:pPr>
        <w:ind w:left="360" w:hanging="360"/>
      </w:pPr>
      <w:rPr>
        <w:rFonts w:ascii="Tahoma" w:hAnsi="Tahoma" w:hint="default"/>
        <w:b/>
        <w:i w:val="0"/>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2">
    <w:nsid w:val="742A4401"/>
    <w:multiLevelType w:val="hybridMultilevel"/>
    <w:tmpl w:val="4532242E"/>
    <w:lvl w:ilvl="0" w:tplc="75360182">
      <w:start w:val="1"/>
      <w:numFmt w:val="decimal"/>
      <w:lvlText w:val="%1."/>
      <w:lvlJc w:val="left"/>
      <w:pPr>
        <w:ind w:left="1287" w:hanging="360"/>
      </w:pPr>
      <w:rPr>
        <w:rFonts w:ascii="Tahoma" w:hAnsi="Tahoma" w:cs="Tahoma" w:hint="default"/>
        <w:b/>
        <w:sz w:val="20"/>
        <w:szCs w:val="20"/>
      </w:rPr>
    </w:lvl>
    <w:lvl w:ilvl="1" w:tplc="D83632D6">
      <w:start w:val="1"/>
      <w:numFmt w:val="lowerLetter"/>
      <w:lvlText w:val="%2)"/>
      <w:lvlJc w:val="left"/>
      <w:pPr>
        <w:tabs>
          <w:tab w:val="num" w:pos="2007"/>
        </w:tabs>
        <w:ind w:left="2007" w:hanging="360"/>
      </w:pPr>
      <w:rPr>
        <w:rFonts w:hint="default"/>
        <w:lang w:val="es-ES"/>
      </w:r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23">
    <w:nsid w:val="7EC759A6"/>
    <w:multiLevelType w:val="hybridMultilevel"/>
    <w:tmpl w:val="A8AC7E98"/>
    <w:lvl w:ilvl="0" w:tplc="CDE45A04">
      <w:start w:val="1"/>
      <w:numFmt w:val="decimal"/>
      <w:lvlText w:val="%1."/>
      <w:lvlJc w:val="left"/>
      <w:pPr>
        <w:tabs>
          <w:tab w:val="num" w:pos="360"/>
        </w:tabs>
        <w:ind w:left="360" w:hanging="360"/>
      </w:pPr>
      <w:rPr>
        <w:rFonts w:hint="default"/>
        <w:b/>
      </w:rPr>
    </w:lvl>
    <w:lvl w:ilvl="1" w:tplc="B9DCCB88">
      <w:start w:val="1"/>
      <w:numFmt w:val="lowerLetter"/>
      <w:lvlText w:val="%2."/>
      <w:lvlJc w:val="left"/>
      <w:pPr>
        <w:tabs>
          <w:tab w:val="num" w:pos="1080"/>
        </w:tabs>
        <w:ind w:left="1080" w:hanging="360"/>
      </w:pPr>
      <w:rPr>
        <w:rFonts w:hint="default"/>
        <w:b w:val="0"/>
      </w:r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num w:numId="1">
    <w:abstractNumId w:val="19"/>
  </w:num>
  <w:num w:numId="2">
    <w:abstractNumId w:val="12"/>
  </w:num>
  <w:num w:numId="3">
    <w:abstractNumId w:val="17"/>
  </w:num>
  <w:num w:numId="4">
    <w:abstractNumId w:val="13"/>
  </w:num>
  <w:num w:numId="5">
    <w:abstractNumId w:val="20"/>
  </w:num>
  <w:num w:numId="6">
    <w:abstractNumId w:val="3"/>
  </w:num>
  <w:num w:numId="7">
    <w:abstractNumId w:val="0"/>
  </w:num>
  <w:num w:numId="8">
    <w:abstractNumId w:val="22"/>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21"/>
  </w:num>
  <w:num w:numId="12">
    <w:abstractNumId w:val="14"/>
  </w:num>
  <w:num w:numId="13">
    <w:abstractNumId w:val="2"/>
  </w:num>
  <w:num w:numId="14">
    <w:abstractNumId w:val="10"/>
  </w:num>
  <w:num w:numId="15">
    <w:abstractNumId w:val="4"/>
  </w:num>
  <w:num w:numId="16">
    <w:abstractNumId w:val="11"/>
  </w:num>
  <w:num w:numId="17">
    <w:abstractNumId w:val="1"/>
  </w:num>
  <w:num w:numId="18">
    <w:abstractNumId w:val="6"/>
  </w:num>
  <w:num w:numId="19">
    <w:abstractNumId w:val="18"/>
  </w:num>
  <w:num w:numId="20">
    <w:abstractNumId w:val="16"/>
  </w:num>
  <w:num w:numId="21">
    <w:abstractNumId w:val="23"/>
  </w:num>
  <w:num w:numId="22">
    <w:abstractNumId w:val="15"/>
  </w:num>
  <w:num w:numId="23">
    <w:abstractNumId w:val="9"/>
  </w:num>
  <w:num w:numId="24">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17410"/>
  </w:hdrShapeDefaults>
  <w:footnotePr>
    <w:footnote w:id="0"/>
    <w:footnote w:id="1"/>
  </w:footnotePr>
  <w:endnotePr>
    <w:endnote w:id="0"/>
    <w:endnote w:id="1"/>
  </w:endnotePr>
  <w:compat/>
  <w:rsids>
    <w:rsidRoot w:val="00F31A7A"/>
    <w:rsid w:val="00070FAF"/>
    <w:rsid w:val="000853DB"/>
    <w:rsid w:val="000A09D0"/>
    <w:rsid w:val="00117E78"/>
    <w:rsid w:val="00165ACF"/>
    <w:rsid w:val="00190839"/>
    <w:rsid w:val="001C6C04"/>
    <w:rsid w:val="001D3157"/>
    <w:rsid w:val="00243346"/>
    <w:rsid w:val="00244785"/>
    <w:rsid w:val="00266B38"/>
    <w:rsid w:val="002E7D7B"/>
    <w:rsid w:val="002F2CE4"/>
    <w:rsid w:val="00383035"/>
    <w:rsid w:val="003B3C54"/>
    <w:rsid w:val="003C17E3"/>
    <w:rsid w:val="003C4B76"/>
    <w:rsid w:val="003D41FE"/>
    <w:rsid w:val="004504AC"/>
    <w:rsid w:val="004729F3"/>
    <w:rsid w:val="004F332E"/>
    <w:rsid w:val="00503296"/>
    <w:rsid w:val="0054123A"/>
    <w:rsid w:val="00544CD7"/>
    <w:rsid w:val="00557D75"/>
    <w:rsid w:val="005C380D"/>
    <w:rsid w:val="005D3AB3"/>
    <w:rsid w:val="006238E2"/>
    <w:rsid w:val="00623C2C"/>
    <w:rsid w:val="006358E8"/>
    <w:rsid w:val="00642CC8"/>
    <w:rsid w:val="00642E9A"/>
    <w:rsid w:val="00650A4B"/>
    <w:rsid w:val="00657092"/>
    <w:rsid w:val="006C0410"/>
    <w:rsid w:val="006C4E34"/>
    <w:rsid w:val="006E19A7"/>
    <w:rsid w:val="006E5F31"/>
    <w:rsid w:val="00741529"/>
    <w:rsid w:val="007728C3"/>
    <w:rsid w:val="00781E29"/>
    <w:rsid w:val="007E5F0C"/>
    <w:rsid w:val="00804646"/>
    <w:rsid w:val="008445EA"/>
    <w:rsid w:val="00847257"/>
    <w:rsid w:val="008747A7"/>
    <w:rsid w:val="008A0308"/>
    <w:rsid w:val="008E13D9"/>
    <w:rsid w:val="008E2FB1"/>
    <w:rsid w:val="009560FA"/>
    <w:rsid w:val="009B1C66"/>
    <w:rsid w:val="00A21BBB"/>
    <w:rsid w:val="00AA4093"/>
    <w:rsid w:val="00AD7110"/>
    <w:rsid w:val="00B05429"/>
    <w:rsid w:val="00B2257E"/>
    <w:rsid w:val="00B55A4A"/>
    <w:rsid w:val="00B67DD8"/>
    <w:rsid w:val="00B769E4"/>
    <w:rsid w:val="00B778BE"/>
    <w:rsid w:val="00BA2FFB"/>
    <w:rsid w:val="00BB0120"/>
    <w:rsid w:val="00BB400F"/>
    <w:rsid w:val="00BC58A3"/>
    <w:rsid w:val="00BD171B"/>
    <w:rsid w:val="00BF4FB1"/>
    <w:rsid w:val="00BF50B0"/>
    <w:rsid w:val="00BF5DC8"/>
    <w:rsid w:val="00C24737"/>
    <w:rsid w:val="00CC086D"/>
    <w:rsid w:val="00CD02B0"/>
    <w:rsid w:val="00D4697A"/>
    <w:rsid w:val="00D46E7E"/>
    <w:rsid w:val="00D72AF0"/>
    <w:rsid w:val="00D916B6"/>
    <w:rsid w:val="00D93ED4"/>
    <w:rsid w:val="00DA1F47"/>
    <w:rsid w:val="00E15612"/>
    <w:rsid w:val="00E41CD3"/>
    <w:rsid w:val="00E51419"/>
    <w:rsid w:val="00E8118F"/>
    <w:rsid w:val="00E86C2E"/>
    <w:rsid w:val="00EA2BDE"/>
    <w:rsid w:val="00EA4E20"/>
    <w:rsid w:val="00EB7FD8"/>
    <w:rsid w:val="00F178DF"/>
    <w:rsid w:val="00F31A7A"/>
    <w:rsid w:val="00F71648"/>
    <w:rsid w:val="00F92973"/>
    <w:rsid w:val="00FC4CCB"/>
    <w:rsid w:val="00FF0649"/>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1A7A"/>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F31A7A"/>
    <w:pPr>
      <w:jc w:val="both"/>
    </w:pPr>
    <w:rPr>
      <w:rFonts w:ascii="Tahoma" w:hAnsi="Tahoma"/>
      <w:szCs w:val="20"/>
      <w:lang w:val="es-PE"/>
    </w:rPr>
  </w:style>
  <w:style w:type="character" w:customStyle="1" w:styleId="TextoindependienteCar">
    <w:name w:val="Texto independiente Car"/>
    <w:basedOn w:val="Fuentedeprrafopredeter"/>
    <w:link w:val="Textoindependiente"/>
    <w:rsid w:val="00F31A7A"/>
    <w:rPr>
      <w:rFonts w:ascii="Tahoma" w:eastAsia="Times New Roman" w:hAnsi="Tahoma" w:cs="Times New Roman"/>
      <w:sz w:val="24"/>
      <w:szCs w:val="20"/>
      <w:lang w:val="es-PE" w:eastAsia="es-ES"/>
    </w:rPr>
  </w:style>
  <w:style w:type="paragraph" w:styleId="Piedepgina">
    <w:name w:val="footer"/>
    <w:basedOn w:val="Normal"/>
    <w:link w:val="PiedepginaCar"/>
    <w:rsid w:val="00F31A7A"/>
    <w:pPr>
      <w:tabs>
        <w:tab w:val="center" w:pos="4252"/>
        <w:tab w:val="right" w:pos="8504"/>
      </w:tabs>
    </w:pPr>
  </w:style>
  <w:style w:type="character" w:customStyle="1" w:styleId="PiedepginaCar">
    <w:name w:val="Pie de página Car"/>
    <w:basedOn w:val="Fuentedeprrafopredeter"/>
    <w:link w:val="Piedepgina"/>
    <w:rsid w:val="00F31A7A"/>
    <w:rPr>
      <w:rFonts w:ascii="Times New Roman" w:eastAsia="Times New Roman" w:hAnsi="Times New Roman" w:cs="Times New Roman"/>
      <w:sz w:val="24"/>
      <w:szCs w:val="24"/>
      <w:lang w:eastAsia="es-ES"/>
    </w:rPr>
  </w:style>
  <w:style w:type="paragraph" w:styleId="Textonotapie">
    <w:name w:val="footnote text"/>
    <w:aliases w:val=" Car,Car, Car4,Car Car Car,Texto nota pie1,Body Text,Car4, Car2 Car Car Car Car Car, Car2 Car, Car2, Car1 Car,Car1 Car, Car2 Car1 Car,Car2 Car Car Car Car Car,Car2 Car Car,Car2 Car Car Car Car Car Car, Car1"/>
    <w:basedOn w:val="Normal"/>
    <w:link w:val="TextonotapieCar"/>
    <w:rsid w:val="00F31A7A"/>
    <w:rPr>
      <w:sz w:val="20"/>
      <w:szCs w:val="20"/>
    </w:rPr>
  </w:style>
  <w:style w:type="character" w:customStyle="1" w:styleId="TextonotapieCar">
    <w:name w:val="Texto nota pie Car"/>
    <w:aliases w:val=" Car Car,Car Car, Car4 Car,Car Car Car Car,Texto nota pie1 Car,Body Text Car,Car4 Car, Car2 Car Car Car Car Car Car, Car2 Car Car, Car2 Car1, Car1 Car Car,Car1 Car Car, Car2 Car1 Car Car,Car2 Car Car Car Car Car Car1,Car2 Car Car Car"/>
    <w:basedOn w:val="Fuentedeprrafopredeter"/>
    <w:link w:val="Textonotapie"/>
    <w:rsid w:val="00F31A7A"/>
    <w:rPr>
      <w:rFonts w:ascii="Times New Roman" w:eastAsia="Times New Roman" w:hAnsi="Times New Roman" w:cs="Times New Roman"/>
      <w:sz w:val="20"/>
      <w:szCs w:val="20"/>
      <w:lang w:eastAsia="es-ES"/>
    </w:rPr>
  </w:style>
  <w:style w:type="character" w:styleId="Refdenotaalpie">
    <w:name w:val="footnote reference"/>
    <w:basedOn w:val="Fuentedeprrafopredeter"/>
    <w:rsid w:val="00F31A7A"/>
    <w:rPr>
      <w:vertAlign w:val="superscript"/>
    </w:rPr>
  </w:style>
  <w:style w:type="paragraph" w:styleId="Prrafodelista">
    <w:name w:val="List Paragraph"/>
    <w:basedOn w:val="Normal"/>
    <w:qFormat/>
    <w:rsid w:val="00F31A7A"/>
    <w:pPr>
      <w:ind w:left="708"/>
    </w:pPr>
  </w:style>
  <w:style w:type="paragraph" w:styleId="NormalWeb">
    <w:name w:val="Normal (Web)"/>
    <w:basedOn w:val="Normal"/>
    <w:uiPriority w:val="99"/>
    <w:rsid w:val="00F31A7A"/>
    <w:pPr>
      <w:spacing w:before="100" w:beforeAutospacing="1" w:after="100" w:afterAutospacing="1"/>
    </w:pPr>
    <w:rPr>
      <w:rFonts w:eastAsia="MS Mincho"/>
    </w:rPr>
  </w:style>
  <w:style w:type="paragraph" w:customStyle="1" w:styleId="Textoindependiente21">
    <w:name w:val="Texto independiente 21"/>
    <w:basedOn w:val="Normal"/>
    <w:rsid w:val="00F31A7A"/>
    <w:pPr>
      <w:jc w:val="both"/>
    </w:pPr>
    <w:rPr>
      <w:rFonts w:ascii="Tahoma" w:hAnsi="Tahoma"/>
      <w:sz w:val="22"/>
      <w:szCs w:val="20"/>
    </w:rPr>
  </w:style>
  <w:style w:type="paragraph" w:styleId="Sinespaciado">
    <w:name w:val="No Spacing"/>
    <w:uiPriority w:val="1"/>
    <w:qFormat/>
    <w:rsid w:val="00F31A7A"/>
    <w:pPr>
      <w:spacing w:after="0" w:line="240" w:lineRule="auto"/>
    </w:pPr>
    <w:rPr>
      <w:rFonts w:ascii="Calibri" w:eastAsia="Times New Roman" w:hAnsi="Calibri" w:cs="Times New Roman"/>
      <w:lang w:eastAsia="es-ES"/>
    </w:rPr>
  </w:style>
  <w:style w:type="paragraph" w:styleId="Encabezado">
    <w:name w:val="header"/>
    <w:aliases w:val="maria,h"/>
    <w:basedOn w:val="Normal"/>
    <w:link w:val="EncabezadoCar"/>
    <w:uiPriority w:val="99"/>
    <w:unhideWhenUsed/>
    <w:rsid w:val="00781E29"/>
    <w:pPr>
      <w:tabs>
        <w:tab w:val="center" w:pos="4252"/>
        <w:tab w:val="right" w:pos="8504"/>
      </w:tabs>
    </w:pPr>
    <w:rPr>
      <w:sz w:val="20"/>
      <w:szCs w:val="20"/>
    </w:rPr>
  </w:style>
  <w:style w:type="character" w:customStyle="1" w:styleId="EncabezadoCar">
    <w:name w:val="Encabezado Car"/>
    <w:aliases w:val="maria Car,h Car"/>
    <w:basedOn w:val="Fuentedeprrafopredeter"/>
    <w:link w:val="Encabezado"/>
    <w:uiPriority w:val="99"/>
    <w:rsid w:val="00781E29"/>
    <w:rPr>
      <w:rFonts w:ascii="Times New Roman" w:eastAsia="Times New Roman" w:hAnsi="Times New Roman" w:cs="Times New Roman"/>
      <w:sz w:val="20"/>
      <w:szCs w:val="20"/>
      <w:lang w:eastAsia="es-ES"/>
    </w:rPr>
  </w:style>
  <w:style w:type="table" w:styleId="Tablaconcuadrcula">
    <w:name w:val="Table Grid"/>
    <w:basedOn w:val="Tablanormal"/>
    <w:uiPriority w:val="59"/>
    <w:rsid w:val="00266B38"/>
    <w:pPr>
      <w:spacing w:after="0" w:line="240" w:lineRule="auto"/>
    </w:pPr>
    <w:rPr>
      <w:rFonts w:ascii="Calibri" w:eastAsia="Calibri" w:hAnsi="Calibri" w:cs="Times New Roman"/>
      <w:sz w:val="20"/>
      <w:szCs w:val="20"/>
      <w:lang w:eastAsia="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extoindependiente2">
    <w:name w:val="Body Text 2"/>
    <w:basedOn w:val="Normal"/>
    <w:link w:val="Textoindependiente2Car"/>
    <w:uiPriority w:val="99"/>
    <w:semiHidden/>
    <w:unhideWhenUsed/>
    <w:rsid w:val="001C6C04"/>
    <w:pPr>
      <w:spacing w:after="120" w:line="480" w:lineRule="auto"/>
    </w:pPr>
  </w:style>
  <w:style w:type="character" w:customStyle="1" w:styleId="Textoindependiente2Car">
    <w:name w:val="Texto independiente 2 Car"/>
    <w:basedOn w:val="Fuentedeprrafopredeter"/>
    <w:link w:val="Textoindependiente2"/>
    <w:uiPriority w:val="99"/>
    <w:semiHidden/>
    <w:rsid w:val="001C6C04"/>
    <w:rPr>
      <w:rFonts w:ascii="Times New Roman" w:eastAsia="Times New Roman" w:hAnsi="Times New Roman" w:cs="Times New Roman"/>
      <w:sz w:val="24"/>
      <w:szCs w:val="24"/>
      <w:lang w:eastAsia="es-ES"/>
    </w:rPr>
  </w:style>
  <w:style w:type="paragraph" w:styleId="Textoindependiente3">
    <w:name w:val="Body Text 3"/>
    <w:basedOn w:val="Normal"/>
    <w:link w:val="Textoindependiente3Car"/>
    <w:uiPriority w:val="99"/>
    <w:semiHidden/>
    <w:unhideWhenUsed/>
    <w:rsid w:val="00503296"/>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503296"/>
    <w:rPr>
      <w:rFonts w:ascii="Times New Roman" w:eastAsia="Times New Roman" w:hAnsi="Times New Roman" w:cs="Times New Roman"/>
      <w:sz w:val="16"/>
      <w:szCs w:val="16"/>
      <w:lang w:eastAsia="es-ES"/>
    </w:rPr>
  </w:style>
  <w:style w:type="paragraph" w:styleId="Sangradetextonormal">
    <w:name w:val="Body Text Indent"/>
    <w:basedOn w:val="Normal"/>
    <w:link w:val="SangradetextonormalCar"/>
    <w:unhideWhenUsed/>
    <w:rsid w:val="008A0308"/>
    <w:pPr>
      <w:spacing w:after="120"/>
      <w:ind w:left="283"/>
    </w:pPr>
  </w:style>
  <w:style w:type="character" w:customStyle="1" w:styleId="SangradetextonormalCar">
    <w:name w:val="Sangría de texto normal Car"/>
    <w:basedOn w:val="Fuentedeprrafopredeter"/>
    <w:link w:val="Sangradetextonormal"/>
    <w:rsid w:val="008A0308"/>
    <w:rPr>
      <w:rFonts w:ascii="Times New Roman" w:eastAsia="Times New Roman" w:hAnsi="Times New Roman" w:cs="Times New Roman"/>
      <w:sz w:val="24"/>
      <w:szCs w:val="24"/>
      <w:lang w:eastAsia="es-ES"/>
    </w:rPr>
  </w:style>
</w:styles>
</file>

<file path=word/webSettings.xml><?xml version="1.0" encoding="utf-8"?>
<w:webSettings xmlns:r="http://schemas.openxmlformats.org/officeDocument/2006/relationships" xmlns:w="http://schemas.openxmlformats.org/wordprocessingml/2006/main">
  <w:divs>
    <w:div w:id="4674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168</TotalTime>
  <Pages>9</Pages>
  <Words>3743</Words>
  <Characters>20591</Characters>
  <Application>Microsoft Office Word</Application>
  <DocSecurity>0</DocSecurity>
  <Lines>171</Lines>
  <Paragraphs>48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24286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dc:creator>
  <cp:keywords/>
  <dc:description/>
  <cp:lastModifiedBy>bcaceres</cp:lastModifiedBy>
  <cp:revision>88</cp:revision>
  <cp:lastPrinted>2011-05-16T15:18:00Z</cp:lastPrinted>
  <dcterms:created xsi:type="dcterms:W3CDTF">2009-12-29T19:22:00Z</dcterms:created>
  <dcterms:modified xsi:type="dcterms:W3CDTF">2011-06-22T14:25:00Z</dcterms:modified>
</cp:coreProperties>
</file>